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13432" w14:textId="60280861" w:rsidR="00626628" w:rsidRDefault="00626628" w:rsidP="00626628">
      <w:pPr>
        <w:pStyle w:val="CRCoverPage"/>
        <w:outlineLvl w:val="0"/>
        <w:rPr>
          <w:b/>
          <w:noProof/>
          <w:sz w:val="24"/>
        </w:rPr>
      </w:pPr>
      <w:r>
        <w:rPr>
          <w:b/>
          <w:noProof/>
          <w:sz w:val="24"/>
        </w:rPr>
        <w:t>3GPP TSG RAN WG1 #10</w:t>
      </w:r>
      <w:r w:rsidR="00701187">
        <w:rPr>
          <w:b/>
          <w:noProof/>
          <w:sz w:val="24"/>
        </w:rPr>
        <w:t>7</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512B7" w:rsidRPr="000512B7">
        <w:rPr>
          <w:b/>
          <w:noProof/>
          <w:sz w:val="24"/>
        </w:rPr>
        <w:t>R1-211145</w:t>
      </w:r>
      <w:r w:rsidR="000512B7">
        <w:rPr>
          <w:b/>
          <w:noProof/>
          <w:sz w:val="24"/>
        </w:rPr>
        <w:t>2</w:t>
      </w:r>
    </w:p>
    <w:p w14:paraId="195C4705" w14:textId="26A7FD54" w:rsidR="00626628" w:rsidRDefault="00626628" w:rsidP="00626628">
      <w:pPr>
        <w:pStyle w:val="CRCoverPage"/>
        <w:outlineLvl w:val="0"/>
        <w:rPr>
          <w:b/>
          <w:noProof/>
          <w:sz w:val="24"/>
        </w:rPr>
      </w:pPr>
      <w:r>
        <w:rPr>
          <w:b/>
          <w:noProof/>
          <w:sz w:val="24"/>
        </w:rPr>
        <w:t xml:space="preserve">e-Meeting, </w:t>
      </w:r>
      <w:r w:rsidR="000512B7">
        <w:rPr>
          <w:b/>
          <w:noProof/>
          <w:sz w:val="24"/>
        </w:rPr>
        <w:t>November</w:t>
      </w:r>
      <w:r>
        <w:rPr>
          <w:b/>
          <w:noProof/>
          <w:sz w:val="24"/>
        </w:rPr>
        <w:t xml:space="preserve"> 11</w:t>
      </w:r>
      <w:r>
        <w:rPr>
          <w:b/>
          <w:noProof/>
          <w:sz w:val="24"/>
          <w:vertAlign w:val="superscript"/>
        </w:rPr>
        <w:t>th</w:t>
      </w:r>
      <w:r>
        <w:rPr>
          <w:b/>
          <w:noProof/>
          <w:sz w:val="24"/>
        </w:rPr>
        <w:t xml:space="preserve"> – </w:t>
      </w:r>
      <w:r w:rsidR="000512B7">
        <w:rPr>
          <w:b/>
          <w:noProof/>
          <w:sz w:val="24"/>
        </w:rPr>
        <w:t>November</w:t>
      </w:r>
      <w:r>
        <w:rPr>
          <w:b/>
          <w:noProof/>
          <w:sz w:val="24"/>
        </w:rPr>
        <w:t xml:space="preserve"> </w:t>
      </w:r>
      <w:r w:rsidR="000512B7">
        <w:rPr>
          <w:b/>
          <w:noProof/>
          <w:sz w:val="24"/>
        </w:rPr>
        <w:t>19</w:t>
      </w:r>
      <w:r w:rsidR="000512B7">
        <w:rPr>
          <w:b/>
          <w:noProof/>
          <w:sz w:val="24"/>
          <w:vertAlign w:val="superscript"/>
        </w:rPr>
        <w:t>th</w:t>
      </w:r>
      <w:r>
        <w:rPr>
          <w:b/>
          <w:noProof/>
          <w:sz w:val="24"/>
        </w:rPr>
        <w:t>, 2021</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397284D8"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74392">
        <w:rPr>
          <w:rFonts w:ascii="Arial" w:hAnsi="Arial"/>
          <w:sz w:val="24"/>
        </w:rPr>
        <w:t>8.</w:t>
      </w:r>
      <w:r w:rsidR="009B4B23">
        <w:rPr>
          <w:rFonts w:ascii="Arial" w:hAnsi="Arial"/>
          <w:sz w:val="24"/>
        </w:rPr>
        <w:t>15</w:t>
      </w:r>
      <w:r w:rsidR="00874392">
        <w:rPr>
          <w:rFonts w:ascii="Arial" w:hAnsi="Arial"/>
          <w:sz w:val="24"/>
        </w:rPr>
        <w:t>.</w:t>
      </w:r>
      <w:r w:rsidR="00205F8E">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3F64234E"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2389A" w:rsidRPr="00E2389A">
        <w:rPr>
          <w:rFonts w:ascii="Arial" w:hAnsi="Arial"/>
          <w:sz w:val="24"/>
        </w:rPr>
        <w:t>Timing relationship enhancements</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1C61593" w14:textId="77777777" w:rsidR="003009A5" w:rsidRDefault="003009A5" w:rsidP="003009A5">
      <w:pPr>
        <w:tabs>
          <w:tab w:val="left" w:pos="1985"/>
        </w:tabs>
        <w:ind w:right="-441"/>
        <w:jc w:val="both"/>
        <w:rPr>
          <w:rFonts w:ascii="Arial" w:hAnsi="Arial"/>
          <w:sz w:val="24"/>
        </w:rPr>
      </w:pPr>
    </w:p>
    <w:p w14:paraId="47367EA5" w14:textId="77777777" w:rsidR="003009A5" w:rsidRDefault="003009A5" w:rsidP="003009A5">
      <w:pPr>
        <w:pStyle w:val="Heading1"/>
        <w:numPr>
          <w:ilvl w:val="0"/>
          <w:numId w:val="1"/>
        </w:numPr>
        <w:tabs>
          <w:tab w:val="clear" w:pos="1140"/>
          <w:tab w:val="num" w:pos="720"/>
        </w:tabs>
        <w:ind w:left="720" w:hanging="720"/>
        <w:jc w:val="both"/>
      </w:pPr>
      <w:r>
        <w:t>Background</w:t>
      </w:r>
    </w:p>
    <w:p w14:paraId="5C3940E1" w14:textId="6DF15C33" w:rsidR="00E26E6A" w:rsidRDefault="00E26E6A" w:rsidP="00E26E6A">
      <w:pPr>
        <w:pStyle w:val="NO"/>
        <w:ind w:left="0" w:firstLine="0"/>
      </w:pPr>
      <w:r w:rsidRPr="00CA5BE5">
        <w:t xml:space="preserve">In </w:t>
      </w:r>
      <w:r>
        <w:t>RAN</w:t>
      </w:r>
      <w:r w:rsidR="00D132FE">
        <w:t>1</w:t>
      </w:r>
      <w:r>
        <w:t>#</w:t>
      </w:r>
      <w:r w:rsidR="00D132FE">
        <w:t>106</w:t>
      </w:r>
      <w:r>
        <w:t>-</w:t>
      </w:r>
      <w:r w:rsidR="000E6EEA">
        <w:t>bis-</w:t>
      </w:r>
      <w:r>
        <w:t xml:space="preserve">e, the following </w:t>
      </w:r>
      <w:r w:rsidR="00D132FE">
        <w:t>agreements for</w:t>
      </w:r>
      <w:r>
        <w:t xml:space="preserve"> eMTC/NB-IoT over NTN </w:t>
      </w:r>
      <w:r w:rsidR="00D132FE">
        <w:t>were made</w:t>
      </w:r>
      <w:r w:rsidR="00ED1C72">
        <w:t xml:space="preserve"> with regards to this agenda item</w:t>
      </w:r>
      <w:r w:rsidRPr="00CA5BE5">
        <w:t>:</w:t>
      </w:r>
    </w:p>
    <w:p w14:paraId="6C5AC583" w14:textId="77777777" w:rsidR="00874D52" w:rsidRDefault="00874D52" w:rsidP="00874D52">
      <w:pPr>
        <w:rPr>
          <w:lang w:eastAsia="x-none"/>
        </w:rPr>
      </w:pPr>
      <w:r w:rsidRPr="00295F15">
        <w:rPr>
          <w:highlight w:val="green"/>
          <w:lang w:eastAsia="x-none"/>
        </w:rPr>
        <w:t>Agreement:</w:t>
      </w:r>
    </w:p>
    <w:p w14:paraId="48D3F571" w14:textId="2A1DEFC6" w:rsidR="00874D52" w:rsidRDefault="00874D52" w:rsidP="00874D52">
      <w:pPr>
        <w:rPr>
          <w:lang w:eastAsia="x-none"/>
        </w:rPr>
      </w:pPr>
      <w:r w:rsidRPr="00295F15">
        <w:rPr>
          <w:lang w:eastAsia="x-none"/>
        </w:rPr>
        <w:t xml:space="preserve">In IoT NTN, for a random access procedure initiated by a N/MPDCCH order, the UE shall delay the transmission of the random access preamble by </w:t>
      </w:r>
      <w:r w:rsidRPr="00295F15">
        <w:rPr>
          <w:i/>
          <w:iCs/>
          <w:lang w:eastAsia="x-none"/>
        </w:rPr>
        <w:t>K</w:t>
      </w:r>
      <w:r w:rsidRPr="00295F15">
        <w:rPr>
          <w:i/>
          <w:iCs/>
          <w:vertAlign w:val="subscript"/>
          <w:lang w:eastAsia="x-none"/>
        </w:rPr>
        <w:t>offset</w:t>
      </w:r>
      <w:r w:rsidRPr="00295F15">
        <w:rPr>
          <w:lang w:eastAsia="x-none"/>
        </w:rPr>
        <w:t xml:space="preserve"> as compared to the current specification.</w:t>
      </w:r>
    </w:p>
    <w:p w14:paraId="067BD0B6" w14:textId="77777777" w:rsidR="00874D52" w:rsidRDefault="00874D52" w:rsidP="00874D52">
      <w:pPr>
        <w:rPr>
          <w:lang w:eastAsia="x-none"/>
        </w:rPr>
      </w:pPr>
      <w:r w:rsidRPr="00B32BD3">
        <w:rPr>
          <w:highlight w:val="green"/>
          <w:lang w:eastAsia="x-none"/>
        </w:rPr>
        <w:t>Agreement:</w:t>
      </w:r>
    </w:p>
    <w:p w14:paraId="6F5ECF81" w14:textId="7502A5BB" w:rsidR="00874D52" w:rsidRDefault="00874D52" w:rsidP="00874D52">
      <w:pPr>
        <w:rPr>
          <w:lang w:eastAsia="x-none"/>
        </w:rPr>
      </w:pPr>
      <w:r w:rsidRPr="00B32BD3">
        <w:rPr>
          <w:lang w:eastAsia="x-none"/>
        </w:rPr>
        <w:t>For IoT NTN, with respect to the granularity, configuration, indication and update of K_Offset, the mechanisms concluded in NR-NTN shall be taken as baseline.</w:t>
      </w:r>
    </w:p>
    <w:p w14:paraId="234B6C6B" w14:textId="77777777" w:rsidR="00874D52" w:rsidRDefault="00874D52" w:rsidP="00874D52">
      <w:pPr>
        <w:rPr>
          <w:lang w:eastAsia="x-none"/>
        </w:rPr>
      </w:pPr>
      <w:r w:rsidRPr="00B612FA">
        <w:rPr>
          <w:highlight w:val="green"/>
          <w:lang w:eastAsia="x-none"/>
        </w:rPr>
        <w:t>Agreement:</w:t>
      </w:r>
    </w:p>
    <w:p w14:paraId="168464E5" w14:textId="43B0529A" w:rsidR="00874D52" w:rsidRDefault="00874D52" w:rsidP="00874D52">
      <w:pPr>
        <w:rPr>
          <w:lang w:eastAsia="x-none"/>
        </w:rPr>
      </w:pPr>
      <w:r>
        <w:rPr>
          <w:lang w:eastAsia="x-none"/>
        </w:rPr>
        <w:t>For eMTC in IoT NTN, if the UE determines that a preamble retransmission is necessary, the choice of a suitable preamble retransmission subframe shall be delayed by Koffset as compared to current specifications.</w:t>
      </w:r>
    </w:p>
    <w:p w14:paraId="701F6CD2" w14:textId="77777777" w:rsidR="00874D52" w:rsidRDefault="00874D52" w:rsidP="00874D52">
      <w:pPr>
        <w:rPr>
          <w:lang w:eastAsia="x-none"/>
        </w:rPr>
      </w:pPr>
      <w:r w:rsidRPr="00E6560F">
        <w:rPr>
          <w:highlight w:val="green"/>
          <w:lang w:eastAsia="x-none"/>
        </w:rPr>
        <w:t>Agreement:</w:t>
      </w:r>
    </w:p>
    <w:p w14:paraId="6179AECC" w14:textId="686050C3" w:rsidR="00874D52" w:rsidRDefault="00874D52" w:rsidP="00874D52">
      <w:pPr>
        <w:rPr>
          <w:lang w:eastAsia="x-none"/>
        </w:rPr>
      </w:pPr>
      <w:r>
        <w:rPr>
          <w:lang w:eastAsia="x-none"/>
        </w:rPr>
        <w:t>For NB-IoT, if the UE has initiated an NPUSCH transmission using pre-configured uplink resources ending in subframe n, the UE shall start or restart to monitor the NPDCCH from DL subframe n+4+K_mac (where K_mac is defined as in NR-NTN).</w:t>
      </w:r>
    </w:p>
    <w:p w14:paraId="1433B55C" w14:textId="77777777" w:rsidR="00874D52" w:rsidRDefault="00874D52" w:rsidP="00874D52">
      <w:pPr>
        <w:rPr>
          <w:lang w:eastAsia="x-none"/>
        </w:rPr>
      </w:pPr>
      <w:r w:rsidRPr="00E6560F">
        <w:rPr>
          <w:highlight w:val="green"/>
          <w:lang w:eastAsia="x-none"/>
        </w:rPr>
        <w:t>Agreement:</w:t>
      </w:r>
    </w:p>
    <w:p w14:paraId="7731098F" w14:textId="0977DDD9" w:rsidR="00874D52" w:rsidRDefault="00874D52" w:rsidP="00874D52">
      <w:pPr>
        <w:rPr>
          <w:lang w:eastAsia="x-none"/>
        </w:rPr>
      </w:pPr>
      <w:r>
        <w:rPr>
          <w:lang w:eastAsia="x-none"/>
        </w:rPr>
        <w:t>For eMTC, if the UE has initiated an PUSCH transmission using pre-configured uplink resources ending in subframe n, the UE shall start or restart to monitor the MPDCCH from DL subframe n+4+K_mac (where K_mac is defined as in NR-NTN).</w:t>
      </w:r>
    </w:p>
    <w:p w14:paraId="2F48AB23" w14:textId="77777777" w:rsidR="00874D52" w:rsidRDefault="00874D52" w:rsidP="00874D52">
      <w:pPr>
        <w:rPr>
          <w:lang w:eastAsia="x-none"/>
        </w:rPr>
      </w:pPr>
      <w:r w:rsidRPr="00E6560F">
        <w:rPr>
          <w:highlight w:val="green"/>
          <w:lang w:eastAsia="x-none"/>
        </w:rPr>
        <w:t>Agreement:</w:t>
      </w:r>
    </w:p>
    <w:p w14:paraId="11DA1EAE" w14:textId="77777777" w:rsidR="00874D52" w:rsidRDefault="00874D52" w:rsidP="00874D52">
      <w:pPr>
        <w:rPr>
          <w:lang w:eastAsia="x-none"/>
        </w:rPr>
      </w:pPr>
      <w:r>
        <w:rPr>
          <w:lang w:eastAsia="x-none"/>
        </w:rPr>
        <w:t>Support PUR at least for GEO-based IoT NTN in Rel-17</w:t>
      </w:r>
    </w:p>
    <w:p w14:paraId="2ACEADAB" w14:textId="45D9CC13" w:rsidR="00874D52" w:rsidRDefault="00874D52" w:rsidP="00874D52">
      <w:pPr>
        <w:rPr>
          <w:lang w:eastAsia="x-none"/>
        </w:rPr>
      </w:pPr>
      <w:r>
        <w:rPr>
          <w:lang w:eastAsia="x-none"/>
        </w:rPr>
        <w:t>FFS: for NGSO-based IoT NTN.</w:t>
      </w:r>
    </w:p>
    <w:p w14:paraId="55E93E21" w14:textId="77777777" w:rsidR="00874D52" w:rsidRDefault="00874D52" w:rsidP="00874D52">
      <w:pPr>
        <w:rPr>
          <w:lang w:eastAsia="x-none"/>
        </w:rPr>
      </w:pPr>
      <w:r w:rsidRPr="00160F05">
        <w:rPr>
          <w:highlight w:val="green"/>
          <w:lang w:eastAsia="x-none"/>
        </w:rPr>
        <w:t>Agreement:</w:t>
      </w:r>
    </w:p>
    <w:p w14:paraId="70015CFD" w14:textId="77777777" w:rsidR="00874D52" w:rsidRDefault="00874D52" w:rsidP="00874D52">
      <w:r>
        <w:t>NPDCCH monitoring restrictions have been identified for further checking to see if changes for NB-IoT need to be made for the following cases:</w:t>
      </w:r>
    </w:p>
    <w:p w14:paraId="7F59506A" w14:textId="77777777" w:rsidR="00874D52" w:rsidRPr="00EB6FA4" w:rsidRDefault="00874D52" w:rsidP="00874D52">
      <w:pPr>
        <w:pStyle w:val="ListParagraph"/>
        <w:numPr>
          <w:ilvl w:val="0"/>
          <w:numId w:val="35"/>
        </w:numPr>
        <w:snapToGrid w:val="0"/>
        <w:spacing w:after="0"/>
        <w:contextualSpacing w:val="0"/>
        <w:jc w:val="both"/>
        <w:textAlignment w:val="auto"/>
      </w:pPr>
      <w:r w:rsidRPr="00EB6FA4">
        <w:t>case 1: MTBG NPUSCH</w:t>
      </w:r>
    </w:p>
    <w:p w14:paraId="206EF21D" w14:textId="77777777" w:rsidR="00874D52" w:rsidRPr="00EB6FA4" w:rsidRDefault="00874D52" w:rsidP="00874D52">
      <w:pPr>
        <w:pStyle w:val="ListParagraph"/>
        <w:numPr>
          <w:ilvl w:val="0"/>
          <w:numId w:val="35"/>
        </w:numPr>
        <w:snapToGrid w:val="0"/>
        <w:spacing w:after="0"/>
        <w:contextualSpacing w:val="0"/>
        <w:jc w:val="both"/>
        <w:textAlignment w:val="auto"/>
      </w:pPr>
      <w:r w:rsidRPr="002C67F4">
        <w:rPr>
          <w:rFonts w:eastAsia="Times New Roman"/>
          <w:lang w:eastAsia="zh-CN"/>
        </w:rPr>
        <w:t>case 2: 2 NPUSCH HARQ processes scheduled</w:t>
      </w:r>
    </w:p>
    <w:p w14:paraId="5B4B02E6"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case 3: long single NPUSCH when MTBG or 2HARQ configured</w:t>
      </w:r>
    </w:p>
    <w:p w14:paraId="67BB0C84"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case 4: single NPUSCH scheduled by DCI format N0 or RAR</w:t>
      </w:r>
    </w:p>
    <w:p w14:paraId="0DDC116D"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case 5: NPUSCH format 2 in response to DCI format N1</w:t>
      </w:r>
    </w:p>
    <w:p w14:paraId="4E954489"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case 6: NPRACH in response to PDCCH order</w:t>
      </w:r>
    </w:p>
    <w:p w14:paraId="4F730F9D"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lastRenderedPageBreak/>
        <w:t>case 7: NPUSCH with same HARQ process when 2 HARQ configured</w:t>
      </w:r>
    </w:p>
    <w:p w14:paraId="0C2ADDB1"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case 8: subframes after NPUSCH processing</w:t>
      </w:r>
    </w:p>
    <w:p w14:paraId="6387991A"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case 9: subframes after NPUSCH carrying Msg3</w:t>
      </w:r>
    </w:p>
    <w:p w14:paraId="6409776C"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case 10: NPRACH for SR for long NPRACH transmissions</w:t>
      </w:r>
    </w:p>
    <w:p w14:paraId="5A376989"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case 11: NPRACH for SR for short NPRACH transmissions</w:t>
      </w:r>
    </w:p>
    <w:p w14:paraId="1AD89DEA" w14:textId="77777777" w:rsidR="00874D52" w:rsidRPr="002C67F4" w:rsidRDefault="00874D52" w:rsidP="00874D52">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FFS: the changes in each case</w:t>
      </w:r>
    </w:p>
    <w:p w14:paraId="5F6B130D" w14:textId="28D784AB" w:rsidR="0084729A" w:rsidRDefault="00874D52" w:rsidP="00F678F5">
      <w:pPr>
        <w:pStyle w:val="ListParagraph"/>
        <w:numPr>
          <w:ilvl w:val="0"/>
          <w:numId w:val="35"/>
        </w:numPr>
        <w:snapToGrid w:val="0"/>
        <w:spacing w:after="0"/>
        <w:contextualSpacing w:val="0"/>
        <w:jc w:val="both"/>
        <w:textAlignment w:val="auto"/>
        <w:rPr>
          <w:rFonts w:eastAsia="Times New Roman"/>
          <w:lang w:eastAsia="zh-CN"/>
        </w:rPr>
      </w:pPr>
      <w:r w:rsidRPr="002C67F4">
        <w:rPr>
          <w:rFonts w:eastAsia="Times New Roman"/>
          <w:lang w:eastAsia="zh-CN"/>
        </w:rPr>
        <w:t>FFS: additional cases</w:t>
      </w:r>
    </w:p>
    <w:p w14:paraId="6F0950CF" w14:textId="77777777" w:rsidR="00F678F5" w:rsidRPr="00F678F5" w:rsidRDefault="00F678F5" w:rsidP="00F678F5">
      <w:pPr>
        <w:pStyle w:val="ListParagraph"/>
        <w:snapToGrid w:val="0"/>
        <w:spacing w:after="0"/>
        <w:contextualSpacing w:val="0"/>
        <w:jc w:val="both"/>
        <w:textAlignment w:val="auto"/>
        <w:rPr>
          <w:rFonts w:eastAsia="Times New Roman"/>
          <w:lang w:eastAsia="zh-CN"/>
        </w:rPr>
      </w:pPr>
    </w:p>
    <w:p w14:paraId="5EA4A384" w14:textId="48F40F58" w:rsidR="00D132FE" w:rsidRDefault="00D132FE" w:rsidP="00E26E6A">
      <w:pPr>
        <w:pStyle w:val="NO"/>
        <w:ind w:left="0" w:firstLine="0"/>
      </w:pPr>
      <w:r>
        <w:t xml:space="preserve">In this contribution, we </w:t>
      </w:r>
      <w:r w:rsidR="00ED1C72">
        <w:t>provide our views on remaining aspects related to timing relationship enhancements.</w:t>
      </w:r>
    </w:p>
    <w:p w14:paraId="00C43E69" w14:textId="1CD2438C" w:rsidR="00647D8A" w:rsidRPr="00064278" w:rsidRDefault="00647D8A" w:rsidP="00290620">
      <w:pPr>
        <w:pStyle w:val="Heading1"/>
        <w:numPr>
          <w:ilvl w:val="0"/>
          <w:numId w:val="1"/>
        </w:numPr>
        <w:tabs>
          <w:tab w:val="clear" w:pos="1140"/>
        </w:tabs>
        <w:jc w:val="both"/>
        <w:rPr>
          <w:b/>
          <w:bCs/>
          <w:lang w:val="en-US"/>
        </w:rPr>
      </w:pPr>
      <w:r>
        <w:t>Definition of interrupted downlink subframes</w:t>
      </w:r>
    </w:p>
    <w:p w14:paraId="4AD96D2D" w14:textId="3FC65737" w:rsidR="00FF2302" w:rsidRDefault="00EA7263" w:rsidP="00FF2302">
      <w:pPr>
        <w:rPr>
          <w:lang w:val="en-US"/>
        </w:rPr>
      </w:pPr>
      <w:r>
        <w:rPr>
          <w:lang w:val="en-US"/>
        </w:rPr>
        <w:t>D</w:t>
      </w:r>
      <w:r w:rsidR="00B67771" w:rsidRPr="00B67771">
        <w:rPr>
          <w:lang w:val="en-US"/>
        </w:rPr>
        <w:t>ue to large, UE-specific TAs, DL subframes interrupted due to an UL transmission are UE-specific</w:t>
      </w:r>
      <w:r w:rsidR="00B67771">
        <w:rPr>
          <w:lang w:val="en-US"/>
        </w:rPr>
        <w:t xml:space="preserve">. </w:t>
      </w:r>
      <w:r w:rsidR="00B67771" w:rsidRPr="00B67771">
        <w:rPr>
          <w:lang w:val="en-US"/>
        </w:rPr>
        <w:t>Current specs assume a small TA</w:t>
      </w:r>
      <w:r w:rsidR="003B0F05">
        <w:rPr>
          <w:lang w:val="en-US"/>
        </w:rPr>
        <w:t xml:space="preserve"> (e.g., up to 1 ms)</w:t>
      </w:r>
      <w:r w:rsidR="00B67771" w:rsidRPr="00B67771">
        <w:rPr>
          <w:lang w:val="en-US"/>
        </w:rPr>
        <w:t>, and do not incorporate a “TA term” in defining these subframes</w:t>
      </w:r>
      <w:r w:rsidR="00FF51D2">
        <w:rPr>
          <w:lang w:val="en-US"/>
        </w:rPr>
        <w:t xml:space="preserve">. </w:t>
      </w:r>
      <w:r w:rsidR="00F321D7">
        <w:rPr>
          <w:lang w:val="en-US"/>
        </w:rPr>
        <w:t>However, as illustrated in Fig</w:t>
      </w:r>
      <w:r w:rsidR="00930937">
        <w:rPr>
          <w:lang w:val="en-US"/>
        </w:rPr>
        <w:t>.</w:t>
      </w:r>
      <w:r w:rsidR="00F321D7">
        <w:rPr>
          <w:lang w:val="en-US"/>
        </w:rPr>
        <w:t xml:space="preserve"> </w:t>
      </w:r>
      <w:r w:rsidR="00F43A50">
        <w:rPr>
          <w:lang w:val="en-US"/>
        </w:rPr>
        <w:t>1</w:t>
      </w:r>
      <w:r w:rsidR="00F321D7">
        <w:rPr>
          <w:lang w:val="en-US"/>
        </w:rPr>
        <w:t xml:space="preserve">, for NTN, </w:t>
      </w:r>
      <w:r w:rsidR="00B4627F">
        <w:rPr>
          <w:lang w:val="en-US"/>
        </w:rPr>
        <w:t xml:space="preserve">the interrupted subframes need to be defined using a term that captures the impact of this very large TA. </w:t>
      </w:r>
      <w:r w:rsidR="00FF2302">
        <w:rPr>
          <w:lang w:val="en-US"/>
        </w:rPr>
        <w:t>In the figure, w</w:t>
      </w:r>
      <w:r w:rsidR="00FF2302" w:rsidRPr="00FF2302">
        <w:rPr>
          <w:lang w:val="en-US"/>
        </w:rPr>
        <w:t xml:space="preserve">e want X_DL to Y_DL to be the interrupted DL SFs—i.e., the </w:t>
      </w:r>
      <w:r w:rsidR="00FF2302">
        <w:rPr>
          <w:lang w:val="en-US"/>
        </w:rPr>
        <w:t>subframes</w:t>
      </w:r>
      <w:r w:rsidR="00FF2302" w:rsidRPr="00FF2302">
        <w:rPr>
          <w:lang w:val="en-US"/>
        </w:rPr>
        <w:t xml:space="preserve"> where the UE is not required to monitor another PDCCH, since it must get ready to transmit the PUSCH starting at Y_UL.</w:t>
      </w:r>
      <w:r w:rsidR="00745BCD">
        <w:rPr>
          <w:lang w:val="en-US"/>
        </w:rPr>
        <w:t xml:space="preserve"> </w:t>
      </w:r>
      <w:r w:rsidR="00FF2302" w:rsidRPr="00FF2302">
        <w:rPr>
          <w:lang w:val="en-US"/>
        </w:rPr>
        <w:t>Without the “-TA” term for Y_DL, the interrupted SFs would be from X_DL +TA to Y_DL +TA, while it would (problematically) be expected to monitor PDCCH from X_DL to Y_DL!</w:t>
      </w:r>
    </w:p>
    <w:p w14:paraId="03959D08" w14:textId="77777777" w:rsidR="00E4711B" w:rsidRDefault="00E4711B" w:rsidP="00E4711B">
      <w:pPr>
        <w:keepNext/>
        <w:jc w:val="center"/>
      </w:pPr>
      <w:r>
        <w:rPr>
          <w:noProof/>
          <w:lang w:val="en-US"/>
        </w:rPr>
        <w:drawing>
          <wp:inline distT="0" distB="0" distL="0" distR="0" wp14:anchorId="22E563D7" wp14:editId="0152D6D1">
            <wp:extent cx="4507414" cy="2706277"/>
            <wp:effectExtent l="0" t="0" r="7620" b="0"/>
            <wp:docPr id="26" name="Picture 26"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Half_Duplex_interrupted_SF_definition.png"/>
                    <pic:cNvPicPr/>
                  </pic:nvPicPr>
                  <pic:blipFill>
                    <a:blip r:embed="rId11">
                      <a:extLst>
                        <a:ext uri="{28A0092B-C50C-407E-A947-70E740481C1C}">
                          <a14:useLocalDpi xmlns:a14="http://schemas.microsoft.com/office/drawing/2010/main" val="0"/>
                        </a:ext>
                      </a:extLst>
                    </a:blip>
                    <a:stretch>
                      <a:fillRect/>
                    </a:stretch>
                  </pic:blipFill>
                  <pic:spPr>
                    <a:xfrm>
                      <a:off x="0" y="0"/>
                      <a:ext cx="4516618" cy="2711803"/>
                    </a:xfrm>
                    <a:prstGeom prst="rect">
                      <a:avLst/>
                    </a:prstGeom>
                  </pic:spPr>
                </pic:pic>
              </a:graphicData>
            </a:graphic>
          </wp:inline>
        </w:drawing>
      </w:r>
    </w:p>
    <w:p w14:paraId="5E5E95DD" w14:textId="5D18AA03" w:rsidR="00745BCD" w:rsidRDefault="00E4711B" w:rsidP="00E4711B">
      <w:pPr>
        <w:pStyle w:val="Caption"/>
        <w:jc w:val="center"/>
      </w:pPr>
      <w:r>
        <w:t xml:space="preserve">Figure </w:t>
      </w:r>
      <w:r w:rsidR="002D6DA9">
        <w:t>1</w:t>
      </w:r>
      <w:r>
        <w:t>: Definition of DL interrupted subframes in the presence of large NTN-specific TAs.</w:t>
      </w:r>
    </w:p>
    <w:p w14:paraId="4556162E" w14:textId="058D339C" w:rsidR="00AD7F52" w:rsidRDefault="00B67771" w:rsidP="00B67771">
      <w:pPr>
        <w:rPr>
          <w:lang w:val="en-US"/>
        </w:rPr>
      </w:pPr>
      <w:r w:rsidRPr="00B67771">
        <w:rPr>
          <w:lang w:val="en-US"/>
        </w:rPr>
        <w:t xml:space="preserve">Examples </w:t>
      </w:r>
      <w:r w:rsidR="00FF51D2">
        <w:rPr>
          <w:lang w:val="en-US"/>
        </w:rPr>
        <w:t>(for NB-IoT)</w:t>
      </w:r>
      <w:r w:rsidR="00FF2302">
        <w:rPr>
          <w:lang w:val="en-US"/>
        </w:rPr>
        <w:t xml:space="preserve"> where this needs to be reflected</w:t>
      </w:r>
      <w:r w:rsidR="00FF51D2">
        <w:rPr>
          <w:lang w:val="en-US"/>
        </w:rPr>
        <w:t xml:space="preserve"> </w:t>
      </w:r>
      <w:r w:rsidRPr="00B67771">
        <w:rPr>
          <w:lang w:val="en-US"/>
        </w:rPr>
        <w:t>include DL subframes before and after a NPUSCH or NPRACH transmission, DL subframes corresponding to half-duplex guard periods, etc.</w:t>
      </w:r>
    </w:p>
    <w:p w14:paraId="70966075" w14:textId="2992E9DF" w:rsidR="00BF33C1" w:rsidRDefault="00BF2F91" w:rsidP="00B67771">
      <w:pPr>
        <w:rPr>
          <w:lang w:val="en-US"/>
        </w:rPr>
      </w:pPr>
      <w:r>
        <w:rPr>
          <w:lang w:val="en-US"/>
        </w:rPr>
        <w:t>Below, we provide some sample</w:t>
      </w:r>
      <w:r w:rsidR="009365E1">
        <w:rPr>
          <w:lang w:val="en-US"/>
        </w:rPr>
        <w:t xml:space="preserve"> changes (</w:t>
      </w:r>
      <w:r w:rsidR="009365E1" w:rsidRPr="00080C19">
        <w:rPr>
          <w:i/>
          <w:iCs/>
          <w:lang w:val="en-US"/>
        </w:rPr>
        <w:t>not exhaustive</w:t>
      </w:r>
      <w:r w:rsidR="009365E1">
        <w:rPr>
          <w:lang w:val="en-US"/>
        </w:rPr>
        <w:t>) that are required for the different cases.</w:t>
      </w:r>
      <w:r w:rsidR="008143F4">
        <w:rPr>
          <w:lang w:val="en-US"/>
        </w:rPr>
        <w:t xml:space="preserve"> </w:t>
      </w:r>
      <w:r w:rsidR="0005518C">
        <w:rPr>
          <w:lang w:val="en-US"/>
        </w:rPr>
        <w:t>In the examples below, t</w:t>
      </w:r>
      <w:r w:rsidR="008143F4">
        <w:rPr>
          <w:lang w:val="en-US"/>
        </w:rPr>
        <w:t xml:space="preserve">ext </w:t>
      </w:r>
      <w:r w:rsidR="0005518C">
        <w:rPr>
          <w:lang w:val="en-US"/>
        </w:rPr>
        <w:t>with</w:t>
      </w:r>
      <w:r w:rsidR="008143F4">
        <w:rPr>
          <w:lang w:val="en-US"/>
        </w:rPr>
        <w:t xml:space="preserve"> </w:t>
      </w:r>
      <w:r w:rsidR="008143F4" w:rsidRPr="0005518C">
        <w:rPr>
          <w:highlight w:val="yellow"/>
          <w:lang w:val="en-US"/>
        </w:rPr>
        <w:t xml:space="preserve">yellow </w:t>
      </w:r>
      <w:r w:rsidR="0005518C">
        <w:rPr>
          <w:highlight w:val="yellow"/>
          <w:lang w:val="en-US"/>
        </w:rPr>
        <w:t xml:space="preserve">highlights </w:t>
      </w:r>
      <w:r w:rsidR="008143F4" w:rsidRPr="0005518C">
        <w:rPr>
          <w:highlight w:val="yellow"/>
          <w:lang w:val="en-US"/>
        </w:rPr>
        <w:t xml:space="preserve">correspond to the relevant </w:t>
      </w:r>
      <w:r w:rsidR="0005518C" w:rsidRPr="0005518C">
        <w:rPr>
          <w:highlight w:val="yellow"/>
          <w:lang w:val="en-US"/>
        </w:rPr>
        <w:t>portions of the specs</w:t>
      </w:r>
      <w:r w:rsidR="008143F4">
        <w:rPr>
          <w:lang w:val="en-US"/>
        </w:rPr>
        <w:t xml:space="preserve">, while the text with </w:t>
      </w:r>
      <w:r w:rsidR="008143F4" w:rsidRPr="0005518C">
        <w:rPr>
          <w:highlight w:val="green"/>
          <w:lang w:val="en-US"/>
        </w:rPr>
        <w:t xml:space="preserve">green highlights </w:t>
      </w:r>
      <w:r w:rsidR="0005518C" w:rsidRPr="0005518C">
        <w:rPr>
          <w:highlight w:val="green"/>
          <w:lang w:val="en-US"/>
        </w:rPr>
        <w:t>include the proposed changes to the specs</w:t>
      </w:r>
      <w:r w:rsidR="0005518C">
        <w:rPr>
          <w:lang w:val="en-US"/>
        </w:rPr>
        <w:t>.</w:t>
      </w:r>
    </w:p>
    <w:p w14:paraId="614D547A" w14:textId="22AB7CDB" w:rsidR="00535140" w:rsidRPr="0005518C" w:rsidRDefault="00CB0DF1" w:rsidP="00B67771">
      <w:pPr>
        <w:rPr>
          <w:b/>
          <w:bCs/>
          <w:u w:val="single"/>
          <w:lang w:val="en-US"/>
        </w:rPr>
      </w:pPr>
      <w:r w:rsidRPr="0005518C">
        <w:rPr>
          <w:b/>
          <w:bCs/>
          <w:u w:val="single"/>
          <w:lang w:val="en-US"/>
        </w:rPr>
        <w:t>Pre-NPUSCH</w:t>
      </w:r>
      <w:r w:rsidR="00A95E59" w:rsidRPr="0005518C">
        <w:rPr>
          <w:b/>
          <w:bCs/>
          <w:u w:val="single"/>
          <w:lang w:val="en-US"/>
        </w:rPr>
        <w:t xml:space="preserve"> (Example)</w:t>
      </w:r>
    </w:p>
    <w:p w14:paraId="5C93AB07" w14:textId="01FA8147" w:rsidR="00CB0DF1" w:rsidRPr="00CB0DF1" w:rsidRDefault="00CB0DF1" w:rsidP="00CB0DF1">
      <w:pPr>
        <w:numPr>
          <w:ilvl w:val="0"/>
          <w:numId w:val="38"/>
        </w:numPr>
        <w:rPr>
          <w:lang w:val="en-US"/>
        </w:rPr>
      </w:pPr>
      <w:r w:rsidRPr="00CB0DF1">
        <w:t xml:space="preserve">For a NPDCCH UE-specific search space, if a NB-IoT UE is configured with higher layer parameter </w:t>
      </w:r>
      <w:r w:rsidRPr="00CB0DF1">
        <w:rPr>
          <w:i/>
          <w:iCs/>
        </w:rPr>
        <w:t>twoHARQ-ProcessesConfig</w:t>
      </w:r>
      <w:r w:rsidRPr="00CB0DF1">
        <w:t xml:space="preserve"> </w:t>
      </w:r>
      <w:r w:rsidR="00BF5B51" w:rsidRPr="00BF5B51">
        <w:rPr>
          <w:i/>
          <w:iCs/>
          <w:color w:val="AEAAAA" w:themeColor="background2" w:themeShade="BF"/>
        </w:rPr>
        <w:t>[</w:t>
      </w:r>
      <w:r w:rsidRPr="00CB0DF1">
        <w:rPr>
          <w:i/>
          <w:iCs/>
          <w:color w:val="AEAAAA" w:themeColor="background2" w:themeShade="BF"/>
        </w:rPr>
        <w:t>or npusch-MultiTB-Config</w:t>
      </w:r>
      <w:r w:rsidR="00BF5B51" w:rsidRPr="00BF5B51">
        <w:rPr>
          <w:i/>
          <w:iCs/>
          <w:color w:val="AEAAAA" w:themeColor="background2" w:themeShade="BF"/>
        </w:rPr>
        <w:t>]</w:t>
      </w:r>
      <w:r w:rsidRPr="00CB0DF1">
        <w:rPr>
          <w:i/>
          <w:iCs/>
          <w:color w:val="AEAAAA" w:themeColor="background2" w:themeShade="BF"/>
        </w:rPr>
        <w:t xml:space="preserve"> </w:t>
      </w:r>
      <w:r w:rsidRPr="00CB0DF1">
        <w:t xml:space="preserve">and if the NB-IoT UE detects NPDCCH with DCI Format N0 ending in subframe </w:t>
      </w:r>
      <w:r w:rsidRPr="00CB0DF1">
        <w:rPr>
          <w:i/>
          <w:iCs/>
        </w:rPr>
        <w:t>n</w:t>
      </w:r>
      <w:r w:rsidRPr="00CB0DF1">
        <w:t xml:space="preserve">, and if the </w:t>
      </w:r>
      <w:r w:rsidRPr="00CB0DF1">
        <w:rPr>
          <w:highlight w:val="yellow"/>
        </w:rPr>
        <w:t xml:space="preserve">corresponding NPUSCH format 1 transmission starts from </w:t>
      </w:r>
      <w:r w:rsidRPr="00CB0DF1">
        <w:rPr>
          <w:i/>
          <w:iCs/>
          <w:highlight w:val="yellow"/>
        </w:rPr>
        <w:t>n+k</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sidRPr="00CB0DF1">
        <w:rPr>
          <w:i/>
          <w:iCs/>
        </w:rPr>
        <w:t>,</w:t>
      </w:r>
    </w:p>
    <w:p w14:paraId="042AD5E3" w14:textId="7EFC7563" w:rsidR="00CB0DF1" w:rsidRDefault="00CB0DF1" w:rsidP="0005518C">
      <w:pPr>
        <w:ind w:left="1080"/>
        <w:rPr>
          <w:lang w:val="en-US"/>
        </w:rPr>
      </w:pPr>
      <w:r w:rsidRPr="00CB0DF1">
        <w:t>-</w:t>
      </w:r>
      <w:r w:rsidRPr="00CB0DF1">
        <w:rPr>
          <w:color w:val="AEAAAA" w:themeColor="background2" w:themeShade="BF"/>
        </w:rPr>
        <w:t xml:space="preserve">if the corresponding NPDCCH with DCI format N0 with CRC scrambled by C-RNTI schedules two transport blocks as determined by the number of scheduled TB field if present, the UE is not required to monitor an NPDCCH candidate in any subframe starting from subframe </w:t>
      </w:r>
      <w:r w:rsidRPr="00CB0DF1">
        <w:rPr>
          <w:i/>
          <w:iCs/>
          <w:color w:val="AEAAAA" w:themeColor="background2" w:themeShade="BF"/>
        </w:rPr>
        <w:t>n+1</w:t>
      </w:r>
      <w:r w:rsidRPr="00CB0DF1">
        <w:rPr>
          <w:color w:val="AEAAAA" w:themeColor="background2" w:themeShade="BF"/>
        </w:rPr>
        <w:t xml:space="preserve"> to subframe </w:t>
      </w:r>
      <w:r w:rsidRPr="00CB0DF1">
        <w:rPr>
          <w:i/>
          <w:iCs/>
          <w:color w:val="AEAAAA" w:themeColor="background2" w:themeShade="BF"/>
        </w:rPr>
        <w:t xml:space="preserve">n+k-1, </w:t>
      </w:r>
      <w:r w:rsidRPr="00CB0DF1">
        <w:rPr>
          <w:color w:val="AEAAAA" w:themeColor="background2" w:themeShade="BF"/>
        </w:rPr>
        <w:t>otherwise</w:t>
      </w:r>
      <w:r w:rsidRPr="00CB0DF1">
        <w:t xml:space="preserve"> </w:t>
      </w:r>
      <w:r w:rsidRPr="00CB0DF1">
        <w:rPr>
          <w:highlight w:val="yellow"/>
        </w:rPr>
        <w:t xml:space="preserve">the UE is not required to monitor an NPDCCH candidate in any subframe starting from subframe </w:t>
      </w:r>
      <w:r w:rsidRPr="00CB0DF1">
        <w:rPr>
          <w:i/>
          <w:iCs/>
          <w:highlight w:val="yellow"/>
        </w:rPr>
        <w:t>n+k-2</w:t>
      </w:r>
      <m:oMath>
        <m:r>
          <w:rPr>
            <w:rFonts w:ascii="Cambria Math" w:hAnsi="Cambria Math"/>
            <w:highlight w:val="yellow"/>
            <w:lang w:val="en-US"/>
          </w:rPr>
          <m:t>+</m:t>
        </m:r>
        <m:sSub>
          <m:sSubPr>
            <m:ctrlPr>
              <w:rPr>
                <w:rFonts w:ascii="Cambria Math" w:hAnsi="Cambria Math"/>
                <w:i/>
                <w:iCs/>
                <w:highlight w:val="green"/>
                <w:lang w:val="en-US"/>
              </w:rPr>
            </m:ctrlPr>
          </m:sSubPr>
          <m:e>
            <m:r>
              <w:rPr>
                <w:rFonts w:ascii="Cambria Math" w:hAnsi="Cambria Math"/>
                <w:highlight w:val="green"/>
                <w:lang w:val="en-US"/>
              </w:rPr>
              <m:t>K</m:t>
            </m:r>
          </m:e>
          <m:sub>
            <m:r>
              <w:rPr>
                <w:rFonts w:ascii="Cambria Math" w:hAnsi="Cambria Math"/>
                <w:highlight w:val="green"/>
                <w:lang w:val="en-US"/>
              </w:rPr>
              <m:t>offset</m:t>
            </m:r>
          </m:sub>
        </m:sSub>
        <m:r>
          <w:rPr>
            <w:rFonts w:ascii="Cambria Math" w:hAnsi="Cambria Math"/>
            <w:highlight w:val="green"/>
            <w:lang w:val="en-US"/>
          </w:rPr>
          <m:t>-</m:t>
        </m:r>
        <m:sSubSup>
          <m:sSubSupPr>
            <m:ctrlPr>
              <w:rPr>
                <w:rFonts w:ascii="Cambria Math" w:hAnsi="Cambria Math"/>
                <w:i/>
                <w:iCs/>
                <w:highlight w:val="green"/>
                <w:lang w:val="en-US"/>
              </w:rPr>
            </m:ctrlPr>
          </m:sSubSupPr>
          <m:e>
            <m:r>
              <w:rPr>
                <w:rFonts w:ascii="Cambria Math" w:hAnsi="Cambria Math"/>
                <w:highlight w:val="green"/>
                <w:lang w:val="en-US"/>
              </w:rPr>
              <m:t>n</m:t>
            </m:r>
          </m:e>
          <m:sub>
            <m:r>
              <w:rPr>
                <w:rFonts w:ascii="Cambria Math" w:hAnsi="Cambria Math"/>
                <w:highlight w:val="green"/>
                <w:lang w:val="en-US"/>
              </w:rPr>
              <m:t>TA</m:t>
            </m:r>
          </m:sub>
          <m:sup>
            <m:r>
              <w:rPr>
                <w:rFonts w:ascii="Cambria Math" w:hAnsi="Cambria Math"/>
                <w:highlight w:val="green"/>
                <w:lang w:val="en-US"/>
              </w:rPr>
              <m:t>UE</m:t>
            </m:r>
          </m:sup>
        </m:sSubSup>
      </m:oMath>
      <w:r w:rsidRPr="00CB0DF1">
        <w:rPr>
          <w:highlight w:val="yellow"/>
        </w:rPr>
        <w:t xml:space="preserve"> to subframe </w:t>
      </w:r>
      <w:r w:rsidRPr="00CB0DF1">
        <w:rPr>
          <w:i/>
          <w:iCs/>
          <w:highlight w:val="yellow"/>
        </w:rPr>
        <w:t>n+k-1</w:t>
      </w:r>
      <m:oMath>
        <m:r>
          <w:rPr>
            <w:rFonts w:ascii="Cambria Math" w:hAnsi="Cambria Math"/>
            <w:highlight w:val="green"/>
            <w:lang w:val="en-US"/>
          </w:rPr>
          <m:t>+</m:t>
        </m:r>
        <m:sSub>
          <m:sSubPr>
            <m:ctrlPr>
              <w:rPr>
                <w:rFonts w:ascii="Cambria Math" w:hAnsi="Cambria Math"/>
                <w:i/>
                <w:iCs/>
                <w:highlight w:val="green"/>
                <w:lang w:val="en-US"/>
              </w:rPr>
            </m:ctrlPr>
          </m:sSubPr>
          <m:e>
            <m:r>
              <w:rPr>
                <w:rFonts w:ascii="Cambria Math" w:hAnsi="Cambria Math"/>
                <w:highlight w:val="green"/>
                <w:lang w:val="en-US"/>
              </w:rPr>
              <m:t>K</m:t>
            </m:r>
          </m:e>
          <m:sub>
            <m:r>
              <w:rPr>
                <w:rFonts w:ascii="Cambria Math" w:hAnsi="Cambria Math"/>
                <w:highlight w:val="green"/>
                <w:lang w:val="en-US"/>
              </w:rPr>
              <m:t>offset</m:t>
            </m:r>
          </m:sub>
        </m:sSub>
        <m:r>
          <w:rPr>
            <w:rFonts w:ascii="Cambria Math" w:hAnsi="Cambria Math"/>
            <w:highlight w:val="green"/>
            <w:lang w:val="en-US"/>
          </w:rPr>
          <m:t>-</m:t>
        </m:r>
        <m:sSubSup>
          <m:sSubSupPr>
            <m:ctrlPr>
              <w:rPr>
                <w:rFonts w:ascii="Cambria Math" w:hAnsi="Cambria Math"/>
                <w:i/>
                <w:iCs/>
                <w:highlight w:val="green"/>
                <w:lang w:val="en-US"/>
              </w:rPr>
            </m:ctrlPr>
          </m:sSubSupPr>
          <m:e>
            <m:r>
              <w:rPr>
                <w:rFonts w:ascii="Cambria Math" w:hAnsi="Cambria Math"/>
                <w:highlight w:val="green"/>
                <w:lang w:val="en-US"/>
              </w:rPr>
              <m:t>n</m:t>
            </m:r>
          </m:e>
          <m:sub>
            <m:r>
              <w:rPr>
                <w:rFonts w:ascii="Cambria Math" w:hAnsi="Cambria Math"/>
                <w:highlight w:val="green"/>
                <w:lang w:val="en-US"/>
              </w:rPr>
              <m:t>TA</m:t>
            </m:r>
          </m:sub>
          <m:sup>
            <m:r>
              <w:rPr>
                <w:rFonts w:ascii="Cambria Math" w:hAnsi="Cambria Math"/>
                <w:highlight w:val="green"/>
                <w:lang w:val="en-US"/>
              </w:rPr>
              <m:t>UE</m:t>
            </m:r>
          </m:sup>
        </m:sSubSup>
      </m:oMath>
      <w:r w:rsidRPr="00CB0DF1">
        <w:t xml:space="preserve">; </w:t>
      </w:r>
    </w:p>
    <w:p w14:paraId="3F9628A2" w14:textId="79A67049" w:rsidR="00535140" w:rsidRPr="0005518C" w:rsidRDefault="000E024B" w:rsidP="00B67771">
      <w:pPr>
        <w:rPr>
          <w:b/>
          <w:bCs/>
          <w:u w:val="single"/>
          <w:lang w:val="en-US"/>
        </w:rPr>
      </w:pPr>
      <w:r w:rsidRPr="0005518C">
        <w:rPr>
          <w:b/>
          <w:bCs/>
          <w:u w:val="single"/>
          <w:lang w:val="en-US"/>
        </w:rPr>
        <w:lastRenderedPageBreak/>
        <w:t>Post-NPUSCH</w:t>
      </w:r>
      <w:r w:rsidR="00A95E59" w:rsidRPr="0005518C">
        <w:rPr>
          <w:b/>
          <w:bCs/>
          <w:u w:val="single"/>
          <w:lang w:val="en-US"/>
        </w:rPr>
        <w:t xml:space="preserve"> (Example)</w:t>
      </w:r>
    </w:p>
    <w:p w14:paraId="2A113E3D" w14:textId="40B30287" w:rsidR="00535140" w:rsidRPr="00BF33C1" w:rsidRDefault="00535140" w:rsidP="00535140">
      <w:pPr>
        <w:numPr>
          <w:ilvl w:val="0"/>
          <w:numId w:val="37"/>
        </w:numPr>
        <w:rPr>
          <w:lang w:val="en-US"/>
        </w:rPr>
      </w:pPr>
      <w:r w:rsidRPr="00535140">
        <w:rPr>
          <w:i/>
          <w:iCs/>
          <w:color w:val="AEAAAA" w:themeColor="background2" w:themeShade="BF"/>
        </w:rPr>
        <w:t xml:space="preserve">- </w:t>
      </w:r>
      <w:r w:rsidR="006C0BB2">
        <w:rPr>
          <w:i/>
          <w:iCs/>
          <w:color w:val="AEAAAA" w:themeColor="background2" w:themeShade="BF"/>
        </w:rPr>
        <w:t>…</w:t>
      </w:r>
      <w:r w:rsidRPr="00535140">
        <w:rPr>
          <w:color w:val="AEAAAA" w:themeColor="background2" w:themeShade="BF"/>
        </w:rPr>
        <w:t xml:space="preserve"> </w:t>
      </w:r>
      <w:r w:rsidRPr="00535140">
        <w:t xml:space="preserve">if the NB-IoT UE has a </w:t>
      </w:r>
      <w:r w:rsidRPr="00535140">
        <w:rPr>
          <w:highlight w:val="yellow"/>
        </w:rPr>
        <w:t xml:space="preserve">NPUSCH transmission ending in subframe </w:t>
      </w:r>
      <w:r w:rsidRPr="00535140">
        <w:rPr>
          <w:i/>
          <w:iCs/>
          <w:highlight w:val="yellow"/>
        </w:rPr>
        <w:t>n</w:t>
      </w:r>
      <w:r w:rsidRPr="00535140">
        <w:rPr>
          <w:highlight w:val="yellow"/>
        </w:rPr>
        <w:t xml:space="preserve"> , the UE is not required to monitor NPDCCH in any subframe starting from subframe </w:t>
      </w:r>
      <w:r w:rsidRPr="00535140">
        <w:rPr>
          <w:i/>
          <w:iCs/>
          <w:highlight w:val="yellow"/>
        </w:rPr>
        <w:t>n+1</w:t>
      </w:r>
      <m:oMath>
        <m:r>
          <w:rPr>
            <w:rFonts w:ascii="Cambria Math" w:hAnsi="Cambria Math"/>
            <w:highlight w:val="green"/>
            <w:lang w:val="en-US"/>
          </w:rPr>
          <m:t>-</m:t>
        </m:r>
        <m:sSubSup>
          <m:sSubSupPr>
            <m:ctrlPr>
              <w:rPr>
                <w:rFonts w:ascii="Cambria Math" w:hAnsi="Cambria Math"/>
                <w:i/>
                <w:iCs/>
                <w:highlight w:val="green"/>
                <w:lang w:val="en-US"/>
              </w:rPr>
            </m:ctrlPr>
          </m:sSubSupPr>
          <m:e>
            <m:r>
              <w:rPr>
                <w:rFonts w:ascii="Cambria Math" w:hAnsi="Cambria Math"/>
                <w:highlight w:val="green"/>
                <w:lang w:val="en-US"/>
              </w:rPr>
              <m:t>n</m:t>
            </m:r>
          </m:e>
          <m:sub>
            <m:r>
              <w:rPr>
                <w:rFonts w:ascii="Cambria Math" w:hAnsi="Cambria Math"/>
                <w:highlight w:val="green"/>
                <w:lang w:val="en-US"/>
              </w:rPr>
              <m:t>TA</m:t>
            </m:r>
          </m:sub>
          <m:sup>
            <m:r>
              <w:rPr>
                <w:rFonts w:ascii="Cambria Math" w:hAnsi="Cambria Math"/>
                <w:highlight w:val="green"/>
                <w:lang w:val="en-US"/>
              </w:rPr>
              <m:t>UE</m:t>
            </m:r>
          </m:sup>
        </m:sSubSup>
      </m:oMath>
      <w:r w:rsidRPr="00535140">
        <w:rPr>
          <w:i/>
          <w:iCs/>
          <w:highlight w:val="yellow"/>
        </w:rPr>
        <w:t xml:space="preserve"> </w:t>
      </w:r>
      <w:r w:rsidRPr="00535140">
        <w:rPr>
          <w:highlight w:val="yellow"/>
        </w:rPr>
        <w:t xml:space="preserve">to subframe </w:t>
      </w:r>
      <w:r w:rsidRPr="00535140">
        <w:rPr>
          <w:i/>
          <w:iCs/>
          <w:highlight w:val="yellow"/>
        </w:rPr>
        <w:t>n+3</w:t>
      </w:r>
      <w:r w:rsidRPr="00535140">
        <w:rPr>
          <w:highlight w:val="yellow"/>
          <w:lang w:val="en-US"/>
        </w:rPr>
        <w:t xml:space="preserve"> </w:t>
      </w:r>
      <m:oMath>
        <m:r>
          <w:rPr>
            <w:rFonts w:ascii="Cambria Math" w:hAnsi="Cambria Math"/>
            <w:highlight w:val="green"/>
            <w:lang w:val="en-US"/>
          </w:rPr>
          <m:t>-</m:t>
        </m:r>
        <m:sSubSup>
          <m:sSubSupPr>
            <m:ctrlPr>
              <w:rPr>
                <w:rFonts w:ascii="Cambria Math" w:hAnsi="Cambria Math"/>
                <w:i/>
                <w:iCs/>
                <w:highlight w:val="green"/>
                <w:lang w:val="en-US"/>
              </w:rPr>
            </m:ctrlPr>
          </m:sSubSupPr>
          <m:e>
            <m:r>
              <w:rPr>
                <w:rFonts w:ascii="Cambria Math" w:hAnsi="Cambria Math"/>
                <w:highlight w:val="green"/>
                <w:lang w:val="en-US"/>
              </w:rPr>
              <m:t>n</m:t>
            </m:r>
          </m:e>
          <m:sub>
            <m:r>
              <w:rPr>
                <w:rFonts w:ascii="Cambria Math" w:hAnsi="Cambria Math"/>
                <w:highlight w:val="green"/>
                <w:lang w:val="en-US"/>
              </w:rPr>
              <m:t>TA</m:t>
            </m:r>
          </m:sub>
          <m:sup>
            <m:r>
              <w:rPr>
                <w:rFonts w:ascii="Cambria Math" w:hAnsi="Cambria Math"/>
                <w:highlight w:val="green"/>
                <w:lang w:val="en-US"/>
              </w:rPr>
              <m:t>UE</m:t>
            </m:r>
          </m:sup>
        </m:sSubSup>
      </m:oMath>
      <w:r w:rsidRPr="00535140">
        <w:t xml:space="preserve">. </w:t>
      </w:r>
    </w:p>
    <w:p w14:paraId="2E74CD3C" w14:textId="77777777" w:rsidR="00535140" w:rsidRPr="00535140" w:rsidRDefault="00535140" w:rsidP="00BF33C1">
      <w:pPr>
        <w:ind w:left="360"/>
        <w:rPr>
          <w:lang w:val="en-US"/>
        </w:rPr>
      </w:pPr>
    </w:p>
    <w:p w14:paraId="4127F1F7" w14:textId="3CD7F6A1" w:rsidR="000E024B" w:rsidRPr="0005518C" w:rsidRDefault="00B248C0" w:rsidP="00B67771">
      <w:pPr>
        <w:rPr>
          <w:b/>
          <w:bCs/>
          <w:u w:val="single"/>
          <w:lang w:val="en-US"/>
        </w:rPr>
      </w:pPr>
      <w:r w:rsidRPr="0005518C">
        <w:rPr>
          <w:b/>
          <w:bCs/>
          <w:u w:val="single"/>
          <w:lang w:val="en-US"/>
        </w:rPr>
        <w:t>Half-duplex guard periods:</w:t>
      </w:r>
    </w:p>
    <w:p w14:paraId="57DE1C14" w14:textId="0D506D4A" w:rsidR="00B248C0" w:rsidRPr="00B248C0" w:rsidRDefault="0071390B" w:rsidP="00B248C0">
      <w:pPr>
        <w:numPr>
          <w:ilvl w:val="0"/>
          <w:numId w:val="39"/>
        </w:numPr>
        <w:overflowPunct w:val="0"/>
        <w:spacing w:line="256" w:lineRule="auto"/>
        <w:contextualSpacing/>
        <w:rPr>
          <w:color w:val="2853DC"/>
          <w:lang w:val="en-US"/>
        </w:rPr>
      </w:pPr>
      <w:r w:rsidRPr="001A0CC7">
        <w:rPr>
          <w:rFonts w:cstheme="minorBidi"/>
          <w:i/>
          <w:iCs/>
          <w:color w:val="000000" w:themeColor="text1"/>
          <w:kern w:val="24"/>
        </w:rPr>
        <w:t>[36.213]</w:t>
      </w:r>
      <w:r>
        <w:rPr>
          <w:rFonts w:cstheme="minorBidi"/>
          <w:color w:val="000000" w:themeColor="text1"/>
          <w:kern w:val="24"/>
        </w:rPr>
        <w:t xml:space="preserve"> </w:t>
      </w:r>
      <w:r w:rsidR="00B248C0" w:rsidRPr="00B248C0">
        <w:rPr>
          <w:rFonts w:cstheme="minorBidi"/>
          <w:color w:val="000000" w:themeColor="text1"/>
          <w:kern w:val="24"/>
        </w:rPr>
        <w:t xml:space="preserve">If a NB-IoT UE is configured with higher layer parameter </w:t>
      </w:r>
      <w:r w:rsidR="00B248C0" w:rsidRPr="00B248C0">
        <w:rPr>
          <w:rFonts w:cstheme="minorBidi"/>
          <w:i/>
          <w:iCs/>
          <w:color w:val="000000" w:themeColor="text1"/>
          <w:kern w:val="24"/>
        </w:rPr>
        <w:t>twoHARQ-ProcessesConfig</w:t>
      </w:r>
    </w:p>
    <w:p w14:paraId="7EE816DC" w14:textId="77777777" w:rsidR="00B248C0" w:rsidRPr="00B248C0" w:rsidRDefault="00B248C0" w:rsidP="00C91AC2">
      <w:pPr>
        <w:overflowPunct w:val="0"/>
        <w:spacing w:line="256" w:lineRule="auto"/>
        <w:ind w:left="288" w:firstLine="274"/>
        <w:rPr>
          <w:lang w:val="en-US"/>
        </w:rPr>
      </w:pPr>
      <w:r w:rsidRPr="00B248C0">
        <w:rPr>
          <w:rFonts w:cstheme="minorBidi"/>
          <w:color w:val="000000" w:themeColor="text1"/>
          <w:kern w:val="24"/>
        </w:rPr>
        <w:t>-</w:t>
      </w:r>
      <w:r w:rsidRPr="00B248C0">
        <w:rPr>
          <w:rFonts w:cstheme="minorBidi"/>
          <w:color w:val="000000" w:themeColor="text1"/>
          <w:kern w:val="24"/>
        </w:rPr>
        <w:tab/>
        <w:t xml:space="preserve">and if the UE has a </w:t>
      </w:r>
      <w:r w:rsidRPr="00B248C0">
        <w:rPr>
          <w:rFonts w:cstheme="minorBidi"/>
          <w:color w:val="000000" w:themeColor="text1"/>
          <w:kern w:val="24"/>
          <w:highlight w:val="yellow"/>
        </w:rPr>
        <w:t xml:space="preserve">NPUSCH transmission ending in subframe </w:t>
      </w:r>
      <w:r w:rsidRPr="00B248C0">
        <w:rPr>
          <w:rFonts w:cstheme="minorBidi"/>
          <w:i/>
          <w:iCs/>
          <w:color w:val="000000" w:themeColor="text1"/>
          <w:kern w:val="24"/>
          <w:highlight w:val="yellow"/>
        </w:rPr>
        <w:t>n</w:t>
      </w:r>
      <w:r w:rsidRPr="00B248C0">
        <w:rPr>
          <w:rFonts w:cstheme="minorBidi"/>
          <w:color w:val="000000" w:themeColor="text1"/>
          <w:kern w:val="24"/>
        </w:rPr>
        <w:t>,</w:t>
      </w:r>
    </w:p>
    <w:p w14:paraId="28C1EFD5" w14:textId="77777777" w:rsidR="00B248C0" w:rsidRPr="00B248C0" w:rsidRDefault="00B248C0" w:rsidP="0005518C">
      <w:pPr>
        <w:overflowPunct w:val="0"/>
        <w:spacing w:line="256" w:lineRule="auto"/>
        <w:ind w:left="1440" w:hanging="720"/>
        <w:rPr>
          <w:lang w:val="en-US"/>
        </w:rPr>
      </w:pPr>
      <w:r w:rsidRPr="00B248C0">
        <w:rPr>
          <w:rFonts w:cstheme="minorBidi"/>
          <w:color w:val="000000" w:themeColor="text1"/>
          <w:kern w:val="24"/>
        </w:rPr>
        <w:t>-</w:t>
      </w:r>
      <w:r w:rsidRPr="00B248C0">
        <w:rPr>
          <w:rFonts w:cstheme="minorBidi"/>
          <w:color w:val="000000" w:themeColor="text1"/>
          <w:kern w:val="24"/>
        </w:rPr>
        <w:tab/>
        <w:t xml:space="preserve">the </w:t>
      </w:r>
      <w:r w:rsidRPr="00B248C0">
        <w:rPr>
          <w:rFonts w:cstheme="minorBidi"/>
          <w:color w:val="000000" w:themeColor="text1"/>
          <w:kern w:val="24"/>
          <w:highlight w:val="yellow"/>
        </w:rPr>
        <w:t>UE is not required to receive transmissions in the Type B half-duplex guard periods as specified in [3]</w:t>
      </w:r>
      <w:r w:rsidRPr="00B248C0">
        <w:rPr>
          <w:rFonts w:cstheme="minorBidi"/>
          <w:color w:val="000000" w:themeColor="text1"/>
          <w:kern w:val="24"/>
        </w:rPr>
        <w:t>for FDD ; and…</w:t>
      </w:r>
    </w:p>
    <w:p w14:paraId="331A863C" w14:textId="3E2517CE" w:rsidR="00B248C0" w:rsidRPr="00B248C0" w:rsidRDefault="0071390B" w:rsidP="00B248C0">
      <w:pPr>
        <w:numPr>
          <w:ilvl w:val="0"/>
          <w:numId w:val="40"/>
        </w:numPr>
        <w:spacing w:line="256" w:lineRule="auto"/>
        <w:contextualSpacing/>
        <w:rPr>
          <w:color w:val="2853DC"/>
          <w:lang w:val="en-US"/>
        </w:rPr>
      </w:pPr>
      <w:r w:rsidRPr="001A0CC7">
        <w:rPr>
          <w:rFonts w:cstheme="minorBidi"/>
          <w:i/>
          <w:iCs/>
          <w:color w:val="000000" w:themeColor="text1"/>
          <w:kern w:val="24"/>
        </w:rPr>
        <w:t>[36.211]</w:t>
      </w:r>
      <w:r>
        <w:rPr>
          <w:rFonts w:cstheme="minorBidi"/>
          <w:color w:val="000000" w:themeColor="text1"/>
          <w:kern w:val="24"/>
        </w:rPr>
        <w:t xml:space="preserve"> </w:t>
      </w:r>
      <w:r w:rsidR="00B248C0" w:rsidRPr="00B248C0">
        <w:rPr>
          <w:rFonts w:cstheme="minorBidi"/>
          <w:color w:val="000000" w:themeColor="text1"/>
          <w:kern w:val="24"/>
        </w:rPr>
        <w:t>For type B half-duplex FDD operation, guard periods, each referred to as a half-duplex guard subframe, are created by the UE by</w:t>
      </w:r>
    </w:p>
    <w:p w14:paraId="1B9C8D0E" w14:textId="5308A541" w:rsidR="00B248C0" w:rsidRPr="00B248C0" w:rsidRDefault="00B248C0" w:rsidP="00C91AC2">
      <w:pPr>
        <w:spacing w:line="256" w:lineRule="auto"/>
        <w:ind w:left="1437" w:hanging="645"/>
        <w:rPr>
          <w:lang w:val="en-US"/>
        </w:rPr>
      </w:pPr>
      <w:r w:rsidRPr="00B248C0">
        <w:rPr>
          <w:rFonts w:cstheme="minorBidi"/>
          <w:color w:val="000000" w:themeColor="text1"/>
          <w:kern w:val="24"/>
        </w:rPr>
        <w:t>-</w:t>
      </w:r>
      <w:r w:rsidR="00C91AC2">
        <w:rPr>
          <w:rFonts w:cstheme="minorBidi"/>
          <w:color w:val="000000" w:themeColor="text1"/>
          <w:kern w:val="24"/>
        </w:rPr>
        <w:tab/>
      </w:r>
      <w:r w:rsidRPr="00B248C0">
        <w:rPr>
          <w:rFonts w:cstheme="minorBidi"/>
          <w:color w:val="000000" w:themeColor="text1"/>
          <w:kern w:val="24"/>
          <w:highlight w:val="yellow"/>
        </w:rPr>
        <w:t xml:space="preserve">not receiving a downlink subframe </w:t>
      </w:r>
      <w:r w:rsidRPr="00B248C0">
        <w:rPr>
          <w:rFonts w:cstheme="minorBidi"/>
          <w:color w:val="000000" w:themeColor="text1"/>
          <w:kern w:val="24"/>
          <w:highlight w:val="green"/>
        </w:rPr>
        <w:t xml:space="preserve">preceding an uplink subframe by </w:t>
      </w:r>
      <m:oMath>
        <m:d>
          <m:dPr>
            <m:ctrlPr>
              <w:rPr>
                <w:rFonts w:ascii="Cambria Math" w:hAnsi="Cambria Math" w:cstheme="minorBidi"/>
                <w:i/>
                <w:iCs/>
                <w:color w:val="000000" w:themeColor="text1"/>
                <w:kern w:val="24"/>
                <w:highlight w:val="green"/>
                <w:lang w:val="en-US"/>
              </w:rPr>
            </m:ctrlPr>
          </m:dPr>
          <m:e>
            <m:sSubSup>
              <m:sSubSupPr>
                <m:ctrlPr>
                  <w:rPr>
                    <w:rFonts w:ascii="Cambria Math" w:hAnsi="Cambria Math" w:cstheme="minorBidi"/>
                    <w:i/>
                    <w:iCs/>
                    <w:color w:val="000000" w:themeColor="text1"/>
                    <w:kern w:val="24"/>
                    <w:highlight w:val="green"/>
                    <w:lang w:val="en-US"/>
                  </w:rPr>
                </m:ctrlPr>
              </m:sSubSupPr>
              <m:e>
                <m:r>
                  <w:rPr>
                    <w:rFonts w:ascii="Cambria Math" w:hAnsi="Cambria Math" w:cstheme="minorBidi"/>
                    <w:color w:val="000000" w:themeColor="text1"/>
                    <w:kern w:val="24"/>
                    <w:highlight w:val="green"/>
                    <w:lang w:val="en-US"/>
                  </w:rPr>
                  <m:t>1+n</m:t>
                </m:r>
              </m:e>
              <m:sub>
                <m:r>
                  <w:rPr>
                    <w:rFonts w:ascii="Cambria Math" w:hAnsi="Cambria Math" w:cstheme="minorBidi"/>
                    <w:color w:val="000000" w:themeColor="text1"/>
                    <w:kern w:val="24"/>
                    <w:highlight w:val="green"/>
                    <w:lang w:val="en-US"/>
                  </w:rPr>
                  <m:t>TA</m:t>
                </m:r>
              </m:sub>
              <m:sup>
                <m:r>
                  <w:rPr>
                    <w:rFonts w:ascii="Cambria Math" w:hAnsi="Cambria Math" w:cstheme="minorBidi"/>
                    <w:color w:val="000000" w:themeColor="text1"/>
                    <w:kern w:val="24"/>
                    <w:highlight w:val="green"/>
                    <w:lang w:val="en-US"/>
                  </w:rPr>
                  <m:t>UE</m:t>
                </m:r>
              </m:sup>
            </m:sSubSup>
          </m:e>
        </m:d>
      </m:oMath>
      <w:r w:rsidRPr="00B248C0">
        <w:rPr>
          <w:rFonts w:cstheme="minorBidi"/>
          <w:color w:val="000000" w:themeColor="text1"/>
          <w:kern w:val="24"/>
          <w:highlight w:val="green"/>
        </w:rPr>
        <w:t xml:space="preserve"> subframes </w:t>
      </w:r>
      <w:r w:rsidRPr="00B248C0">
        <w:rPr>
          <w:rFonts w:cstheme="minorBidi"/>
          <w:color w:val="000000" w:themeColor="text1"/>
          <w:kern w:val="24"/>
        </w:rPr>
        <w:t>from the same UE, and</w:t>
      </w:r>
    </w:p>
    <w:p w14:paraId="02B991FA" w14:textId="51F2489E" w:rsidR="000E024B" w:rsidRDefault="00B248C0" w:rsidP="00FB4122">
      <w:pPr>
        <w:spacing w:line="256" w:lineRule="auto"/>
        <w:ind w:left="792" w:hanging="72"/>
        <w:rPr>
          <w:rFonts w:cstheme="minorBidi"/>
          <w:color w:val="000000" w:themeColor="text1"/>
          <w:kern w:val="24"/>
        </w:rPr>
      </w:pPr>
      <w:r w:rsidRPr="00B248C0">
        <w:rPr>
          <w:rFonts w:cstheme="minorBidi"/>
          <w:color w:val="000000" w:themeColor="text1"/>
          <w:kern w:val="24"/>
        </w:rPr>
        <w:t>-</w:t>
      </w:r>
      <w:r w:rsidRPr="00B248C0">
        <w:rPr>
          <w:rFonts w:cstheme="minorBidi"/>
          <w:color w:val="000000" w:themeColor="text1"/>
          <w:kern w:val="24"/>
        </w:rPr>
        <w:tab/>
      </w:r>
      <w:r w:rsidR="00C91AC2">
        <w:rPr>
          <w:rFonts w:cstheme="minorBidi"/>
          <w:color w:val="000000" w:themeColor="text1"/>
          <w:kern w:val="24"/>
        </w:rPr>
        <w:tab/>
      </w:r>
      <w:r w:rsidRPr="00B248C0">
        <w:rPr>
          <w:rFonts w:cstheme="minorBidi"/>
          <w:color w:val="000000" w:themeColor="text1"/>
          <w:kern w:val="24"/>
          <w:highlight w:val="yellow"/>
        </w:rPr>
        <w:t xml:space="preserve">not receiving a downlink subframe </w:t>
      </w:r>
      <w:r w:rsidRPr="00B248C0">
        <w:rPr>
          <w:rFonts w:cstheme="minorBidi"/>
          <w:color w:val="000000" w:themeColor="text1"/>
          <w:kern w:val="24"/>
          <w:highlight w:val="green"/>
        </w:rPr>
        <w:t xml:space="preserve">following an uplink subframe by </w:t>
      </w:r>
      <m:oMath>
        <m:d>
          <m:dPr>
            <m:ctrlPr>
              <w:rPr>
                <w:rFonts w:ascii="Cambria Math" w:hAnsi="Cambria Math" w:cstheme="minorBidi"/>
                <w:i/>
                <w:iCs/>
                <w:color w:val="000000" w:themeColor="text1"/>
                <w:kern w:val="24"/>
                <w:highlight w:val="green"/>
                <w:lang w:val="en-US"/>
              </w:rPr>
            </m:ctrlPr>
          </m:dPr>
          <m:e>
            <m:sSubSup>
              <m:sSubSupPr>
                <m:ctrlPr>
                  <w:rPr>
                    <w:rFonts w:ascii="Cambria Math" w:hAnsi="Cambria Math" w:cstheme="minorBidi"/>
                    <w:i/>
                    <w:iCs/>
                    <w:color w:val="000000" w:themeColor="text1"/>
                    <w:kern w:val="24"/>
                    <w:highlight w:val="green"/>
                    <w:lang w:val="en-US"/>
                  </w:rPr>
                </m:ctrlPr>
              </m:sSubSupPr>
              <m:e>
                <m:r>
                  <w:rPr>
                    <w:rFonts w:ascii="Cambria Math" w:hAnsi="Cambria Math" w:cstheme="minorBidi"/>
                    <w:color w:val="000000" w:themeColor="text1"/>
                    <w:kern w:val="24"/>
                    <w:highlight w:val="green"/>
                    <w:lang w:val="en-US"/>
                  </w:rPr>
                  <m:t>1-n</m:t>
                </m:r>
              </m:e>
              <m:sub>
                <m:r>
                  <w:rPr>
                    <w:rFonts w:ascii="Cambria Math" w:hAnsi="Cambria Math" w:cstheme="minorBidi"/>
                    <w:color w:val="000000" w:themeColor="text1"/>
                    <w:kern w:val="24"/>
                    <w:highlight w:val="green"/>
                    <w:lang w:val="en-US"/>
                  </w:rPr>
                  <m:t>TA</m:t>
                </m:r>
              </m:sub>
              <m:sup>
                <m:r>
                  <w:rPr>
                    <w:rFonts w:ascii="Cambria Math" w:hAnsi="Cambria Math" w:cstheme="minorBidi"/>
                    <w:color w:val="000000" w:themeColor="text1"/>
                    <w:kern w:val="24"/>
                    <w:highlight w:val="green"/>
                    <w:lang w:val="en-US"/>
                  </w:rPr>
                  <m:t>UE</m:t>
                </m:r>
              </m:sup>
            </m:sSubSup>
          </m:e>
        </m:d>
      </m:oMath>
      <w:r w:rsidRPr="00B248C0">
        <w:rPr>
          <w:rFonts w:cstheme="minorBidi"/>
          <w:color w:val="000000" w:themeColor="text1"/>
          <w:kern w:val="24"/>
          <w:highlight w:val="green"/>
        </w:rPr>
        <w:t xml:space="preserve"> subframes </w:t>
      </w:r>
      <w:r w:rsidRPr="00B248C0">
        <w:rPr>
          <w:rFonts w:cstheme="minorBidi"/>
          <w:color w:val="000000" w:themeColor="text1"/>
          <w:kern w:val="24"/>
        </w:rPr>
        <w:t>from the same UE.</w:t>
      </w:r>
    </w:p>
    <w:p w14:paraId="56D8BCB9" w14:textId="5447507C" w:rsidR="00BF33C1" w:rsidRDefault="00AF522C" w:rsidP="00BF33C1">
      <w:pPr>
        <w:spacing w:line="256" w:lineRule="auto"/>
        <w:rPr>
          <w:lang w:val="en-US"/>
        </w:rPr>
      </w:pPr>
      <w:r>
        <w:rPr>
          <w:lang w:val="en-US"/>
        </w:rPr>
        <w:t xml:space="preserve">Below, we write proposals </w:t>
      </w:r>
      <w:r w:rsidR="00E70E42">
        <w:rPr>
          <w:lang w:val="en-US"/>
        </w:rPr>
        <w:t xml:space="preserve">corresponding to the relevant cases </w:t>
      </w:r>
      <w:r w:rsidR="00D14E6F">
        <w:rPr>
          <w:lang w:val="en-US"/>
        </w:rPr>
        <w:t>in</w:t>
      </w:r>
      <w:r w:rsidR="00E70E42">
        <w:rPr>
          <w:lang w:val="en-US"/>
        </w:rPr>
        <w:t xml:space="preserve"> NB-IoT where these changes to the definitions of interrupted subframes are necessary. For eMTC, </w:t>
      </w:r>
      <w:r w:rsidR="00AB5BA1">
        <w:rPr>
          <w:lang w:val="en-US"/>
        </w:rPr>
        <w:t>analogous proposals/TPs may be drafted.</w:t>
      </w:r>
    </w:p>
    <w:p w14:paraId="08A73B8C" w14:textId="7A85DBCB" w:rsidR="003D4599" w:rsidRDefault="003B067D" w:rsidP="00E869B4">
      <w:pPr>
        <w:rPr>
          <w:b/>
          <w:bCs/>
        </w:rPr>
      </w:pPr>
      <w:r w:rsidRPr="00B037AB">
        <w:rPr>
          <w:b/>
          <w:bCs/>
          <w:i/>
          <w:iCs/>
          <w:u w:val="single"/>
          <w:lang w:val="en-US"/>
        </w:rPr>
        <w:t>Proposal</w:t>
      </w:r>
      <w:r w:rsidR="00372768">
        <w:rPr>
          <w:b/>
          <w:bCs/>
          <w:i/>
          <w:iCs/>
          <w:u w:val="single"/>
          <w:lang w:val="en-US"/>
        </w:rPr>
        <w:t xml:space="preserve"> 1</w:t>
      </w:r>
      <w:r w:rsidRPr="00B037AB">
        <w:rPr>
          <w:b/>
          <w:bCs/>
          <w:lang w:val="en-US"/>
        </w:rPr>
        <w:t xml:space="preserve">: </w:t>
      </w:r>
      <w:r w:rsidR="00142B16">
        <w:rPr>
          <w:b/>
          <w:bCs/>
          <w:lang w:val="en-US"/>
        </w:rPr>
        <w:t>B</w:t>
      </w:r>
      <w:r w:rsidRPr="00B037AB">
        <w:rPr>
          <w:b/>
          <w:bCs/>
        </w:rPr>
        <w:t>efore</w:t>
      </w:r>
      <w:r w:rsidRPr="00B037AB">
        <w:rPr>
          <w:b/>
          <w:bCs/>
        </w:rPr>
        <w:t xml:space="preserve"> a NPUSCH transmission</w:t>
      </w:r>
      <w:r w:rsidR="00DD0D40" w:rsidRPr="00B037AB">
        <w:rPr>
          <w:b/>
          <w:bCs/>
        </w:rPr>
        <w:t xml:space="preserve"> for the case of two HARQ processes</w:t>
      </w:r>
      <w:r w:rsidR="00D45174">
        <w:rPr>
          <w:b/>
          <w:bCs/>
        </w:rPr>
        <w:t xml:space="preserve"> (</w:t>
      </w:r>
      <w:r w:rsidR="00EA0011">
        <w:rPr>
          <w:b/>
          <w:bCs/>
        </w:rPr>
        <w:t>where</w:t>
      </w:r>
      <w:r w:rsidR="00664B96">
        <w:rPr>
          <w:b/>
          <w:bCs/>
        </w:rPr>
        <w:t xml:space="preserve"> the </w:t>
      </w:r>
      <w:r w:rsidR="009D2CAE">
        <w:rPr>
          <w:b/>
          <w:bCs/>
        </w:rPr>
        <w:t>NPDCCH</w:t>
      </w:r>
      <w:r w:rsidR="00664B96">
        <w:rPr>
          <w:b/>
          <w:bCs/>
        </w:rPr>
        <w:t xml:space="preserve"> scheduling the NPUSCH ends in subframe </w:t>
      </w:r>
      <m:oMath>
        <m:r>
          <m:rPr>
            <m:sty m:val="bi"/>
          </m:rPr>
          <w:rPr>
            <w:rFonts w:ascii="Cambria Math" w:hAnsi="Cambria Math"/>
          </w:rPr>
          <m:t>n</m:t>
        </m:r>
      </m:oMath>
      <w:r w:rsidR="00BC0631">
        <w:rPr>
          <w:b/>
          <w:bCs/>
        </w:rPr>
        <w:t xml:space="preserve"> and the NPUSCH starts from </w:t>
      </w:r>
      <m:oMath>
        <m:r>
          <m:rPr>
            <m:sty m:val="bi"/>
          </m:rPr>
          <w:rPr>
            <w:rFonts w:ascii="Cambria Math" w:hAnsi="Cambria Math"/>
          </w:rPr>
          <m:t>n+k</m:t>
        </m:r>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sidR="00D45174">
        <w:rPr>
          <w:b/>
          <w:bCs/>
        </w:rPr>
        <w:t>)</w:t>
      </w:r>
    </w:p>
    <w:p w14:paraId="1ED61AF1" w14:textId="2B54D746" w:rsidR="003B067D" w:rsidRPr="00880446" w:rsidRDefault="00880446" w:rsidP="003D4599">
      <w:pPr>
        <w:pStyle w:val="ListParagraph"/>
        <w:numPr>
          <w:ilvl w:val="0"/>
          <w:numId w:val="42"/>
        </w:numPr>
        <w:rPr>
          <w:b/>
          <w:bCs/>
          <w:lang w:val="en-US"/>
        </w:rPr>
      </w:pPr>
      <w:r>
        <w:rPr>
          <w:b/>
          <w:bCs/>
        </w:rPr>
        <w:t>For</w:t>
      </w:r>
      <w:r w:rsidR="00DD0D40" w:rsidRPr="003D4599">
        <w:rPr>
          <w:b/>
          <w:bCs/>
        </w:rPr>
        <w:t xml:space="preserve"> single</w:t>
      </w:r>
      <w:r w:rsidR="00845880">
        <w:rPr>
          <w:b/>
          <w:bCs/>
        </w:rPr>
        <w:t>-</w:t>
      </w:r>
      <w:r w:rsidR="00745BBB" w:rsidRPr="003D4599">
        <w:rPr>
          <w:b/>
          <w:bCs/>
        </w:rPr>
        <w:t>TB</w:t>
      </w:r>
      <w:r>
        <w:rPr>
          <w:b/>
          <w:bCs/>
        </w:rPr>
        <w:t xml:space="preserve"> scheduling</w:t>
      </w:r>
      <w:r w:rsidR="003B067D" w:rsidRPr="003D4599">
        <w:rPr>
          <w:b/>
          <w:bCs/>
        </w:rPr>
        <w:t xml:space="preserve">, the UE is not required to monitor NPDCCH in any subframe starting from subframe </w:t>
      </w:r>
      <w:r w:rsidR="007849F3" w:rsidRPr="003D4599">
        <w:rPr>
          <w:b/>
          <w:bCs/>
          <w:i/>
          <w:iCs/>
        </w:rPr>
        <w:t>n+k-2</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sidR="007849F3" w:rsidRPr="003D4599">
        <w:rPr>
          <w:b/>
          <w:bCs/>
        </w:rPr>
        <w:t xml:space="preserve"> to subframe </w:t>
      </w:r>
      <w:r w:rsidR="007849F3" w:rsidRPr="003D4599">
        <w:rPr>
          <w:b/>
          <w:bCs/>
          <w:i/>
          <w:iCs/>
        </w:rPr>
        <w:t>n+k-1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58FD5B28" w14:textId="06CB2B8A" w:rsidR="00880446" w:rsidRPr="005F279A" w:rsidRDefault="00880446" w:rsidP="003D4599">
      <w:pPr>
        <w:pStyle w:val="ListParagraph"/>
        <w:numPr>
          <w:ilvl w:val="0"/>
          <w:numId w:val="42"/>
        </w:numPr>
        <w:rPr>
          <w:b/>
          <w:bCs/>
          <w:lang w:val="en-US"/>
        </w:rPr>
      </w:pPr>
      <w:r>
        <w:rPr>
          <w:b/>
          <w:bCs/>
        </w:rPr>
        <w:t>For multi</w:t>
      </w:r>
      <w:r w:rsidR="00845880">
        <w:rPr>
          <w:b/>
          <w:bCs/>
        </w:rPr>
        <w:t>-</w:t>
      </w:r>
      <w:r>
        <w:rPr>
          <w:b/>
          <w:bCs/>
        </w:rPr>
        <w:t>TB scheduling, the UE is not required to monitor</w:t>
      </w:r>
      <w:r w:rsidR="0044037D">
        <w:rPr>
          <w:b/>
          <w:bCs/>
        </w:rPr>
        <w:t xml:space="preserve"> NPDCCH in any subframe starting from </w:t>
      </w:r>
      <w:r w:rsidR="0044037D" w:rsidRPr="00845880">
        <w:rPr>
          <w:b/>
          <w:bCs/>
        </w:rPr>
        <w:t xml:space="preserve">subframe </w:t>
      </w:r>
      <w:r w:rsidR="00845880" w:rsidRPr="00845880">
        <w:rPr>
          <w:b/>
          <w:bCs/>
          <w:i/>
          <w:iCs/>
        </w:rPr>
        <w:t>n+1</w:t>
      </w:r>
      <w:r w:rsidR="00845880" w:rsidRPr="00845880">
        <w:rPr>
          <w:b/>
          <w:bCs/>
        </w:rPr>
        <w:t xml:space="preserve"> to subframe </w:t>
      </w:r>
      <w:r w:rsidR="00845880" w:rsidRPr="00845880">
        <w:rPr>
          <w:b/>
          <w:bCs/>
          <w:i/>
          <w:iCs/>
        </w:rPr>
        <w:t>n+k-1</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2E6DD3ED" w14:textId="5711290E" w:rsidR="005F279A" w:rsidRDefault="005F279A" w:rsidP="00CE4D3A">
      <w:pPr>
        <w:rPr>
          <w:b/>
          <w:bCs/>
        </w:rPr>
      </w:pPr>
      <w:r w:rsidRPr="00CE4D3A">
        <w:rPr>
          <w:b/>
          <w:bCs/>
          <w:i/>
          <w:iCs/>
          <w:u w:val="single"/>
          <w:lang w:val="en-US"/>
        </w:rPr>
        <w:t>Proposal</w:t>
      </w:r>
      <w:r w:rsidR="00372768">
        <w:rPr>
          <w:b/>
          <w:bCs/>
          <w:i/>
          <w:iCs/>
          <w:u w:val="single"/>
          <w:lang w:val="en-US"/>
        </w:rPr>
        <w:t xml:space="preserve"> 2</w:t>
      </w:r>
      <w:r w:rsidRPr="00CE4D3A">
        <w:rPr>
          <w:b/>
          <w:bCs/>
          <w:lang w:val="en-US"/>
        </w:rPr>
        <w:t xml:space="preserve">: </w:t>
      </w:r>
      <w:r w:rsidR="00142B16">
        <w:rPr>
          <w:b/>
          <w:bCs/>
        </w:rPr>
        <w:t>Before</w:t>
      </w:r>
      <w:r w:rsidRPr="00CE4D3A">
        <w:rPr>
          <w:b/>
          <w:bCs/>
        </w:rPr>
        <w:t xml:space="preserve"> a NPUSCH transmission for the case of </w:t>
      </w:r>
      <w:r w:rsidR="00CE4D3A">
        <w:rPr>
          <w:b/>
          <w:bCs/>
        </w:rPr>
        <w:t>single</w:t>
      </w:r>
      <w:r w:rsidRPr="00CE4D3A">
        <w:rPr>
          <w:b/>
          <w:bCs/>
        </w:rPr>
        <w:t xml:space="preserve"> HARQ process,</w:t>
      </w:r>
      <w:r w:rsidR="00CE4D3A">
        <w:rPr>
          <w:b/>
          <w:bCs/>
        </w:rPr>
        <w:t xml:space="preserve"> or </w:t>
      </w:r>
      <w:r w:rsidR="0032350B">
        <w:rPr>
          <w:b/>
          <w:bCs/>
        </w:rPr>
        <w:t xml:space="preserve">before </w:t>
      </w:r>
      <w:r w:rsidR="009C7295">
        <w:rPr>
          <w:b/>
          <w:bCs/>
        </w:rPr>
        <w:t>one</w:t>
      </w:r>
      <w:r w:rsidR="00F617C8">
        <w:rPr>
          <w:b/>
          <w:bCs/>
        </w:rPr>
        <w:t xml:space="preserve"> triggered by a RAR</w:t>
      </w:r>
      <w:r w:rsidRPr="00CE4D3A">
        <w:rPr>
          <w:b/>
          <w:bCs/>
        </w:rPr>
        <w:t xml:space="preserve"> </w:t>
      </w:r>
      <w:r w:rsidR="00D45174">
        <w:rPr>
          <w:b/>
          <w:bCs/>
        </w:rPr>
        <w:t>(</w:t>
      </w:r>
      <w:r w:rsidRPr="00CE4D3A">
        <w:rPr>
          <w:b/>
          <w:bCs/>
        </w:rPr>
        <w:t>where the NPDCCH scheduling the NPUSCH</w:t>
      </w:r>
      <w:r w:rsidR="0013490A">
        <w:rPr>
          <w:b/>
          <w:bCs/>
        </w:rPr>
        <w:t xml:space="preserve"> or the RAR</w:t>
      </w:r>
      <w:r w:rsidRPr="00CE4D3A">
        <w:rPr>
          <w:b/>
          <w:bCs/>
        </w:rPr>
        <w:t xml:space="preserve"> ends in subframe </w:t>
      </w:r>
      <m:oMath>
        <m:r>
          <m:rPr>
            <m:sty m:val="bi"/>
          </m:rPr>
          <w:rPr>
            <w:rFonts w:ascii="Cambria Math" w:hAnsi="Cambria Math"/>
          </w:rPr>
          <m:t>n</m:t>
        </m:r>
      </m:oMath>
      <w:r w:rsidR="00BC0631">
        <w:rPr>
          <w:b/>
          <w:bCs/>
        </w:rPr>
        <w:t xml:space="preserve"> </w:t>
      </w:r>
      <w:r w:rsidR="00BC0631">
        <w:rPr>
          <w:b/>
          <w:bCs/>
        </w:rPr>
        <w:t xml:space="preserve">and the NPUSCH starts from </w:t>
      </w:r>
      <m:oMath>
        <m:r>
          <m:rPr>
            <m:sty m:val="bi"/>
          </m:rPr>
          <w:rPr>
            <w:rFonts w:ascii="Cambria Math" w:hAnsi="Cambria Math"/>
          </w:rPr>
          <m:t>n+k</m:t>
        </m:r>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sidR="00D45174">
        <w:rPr>
          <w:b/>
          <w:bCs/>
        </w:rPr>
        <w:t>)</w:t>
      </w:r>
    </w:p>
    <w:p w14:paraId="1D253E3B" w14:textId="63E0B511" w:rsidR="000D7B57" w:rsidRPr="00705E0D" w:rsidRDefault="00B86CC7" w:rsidP="00705E0D">
      <w:pPr>
        <w:pStyle w:val="ListParagraph"/>
        <w:numPr>
          <w:ilvl w:val="0"/>
          <w:numId w:val="42"/>
        </w:numPr>
        <w:rPr>
          <w:b/>
          <w:bCs/>
        </w:rPr>
      </w:pPr>
      <w:r w:rsidRPr="00B86CC7">
        <w:rPr>
          <w:b/>
          <w:bCs/>
        </w:rPr>
        <w:t xml:space="preserve">the UE is not required to monitor NPDCCH in any subframe starting from subframe </w:t>
      </w:r>
      <w:r w:rsidRPr="00B86CC7">
        <w:rPr>
          <w:b/>
          <w:bCs/>
          <w:i/>
        </w:rPr>
        <w:t>n+1</w:t>
      </w:r>
      <w:r w:rsidRPr="00B86CC7">
        <w:rPr>
          <w:b/>
          <w:bCs/>
        </w:rPr>
        <w:t xml:space="preserve"> to subframe </w:t>
      </w:r>
      <w:r w:rsidRPr="00B86CC7">
        <w:rPr>
          <w:b/>
          <w:bCs/>
          <w:i/>
        </w:rPr>
        <w:t>n+k-1</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31D16A1D" w14:textId="4739E5E8" w:rsidR="00E42B67" w:rsidRPr="006A5BD0" w:rsidRDefault="000D7B57" w:rsidP="000D7B57">
      <w:pPr>
        <w:rPr>
          <w:b/>
          <w:bCs/>
        </w:rPr>
      </w:pPr>
      <w:r w:rsidRPr="00295AEE">
        <w:rPr>
          <w:b/>
          <w:bCs/>
          <w:i/>
          <w:iCs/>
          <w:u w:val="single"/>
        </w:rPr>
        <w:t>Proposal</w:t>
      </w:r>
      <w:r w:rsidR="00372768">
        <w:rPr>
          <w:b/>
          <w:bCs/>
          <w:i/>
          <w:iCs/>
          <w:u w:val="single"/>
        </w:rPr>
        <w:t xml:space="preserve"> 3</w:t>
      </w:r>
      <w:r w:rsidRPr="006A5BD0">
        <w:rPr>
          <w:b/>
          <w:bCs/>
        </w:rPr>
        <w:t xml:space="preserve">: </w:t>
      </w:r>
      <w:r w:rsidR="00E42B67" w:rsidRPr="006A5BD0">
        <w:rPr>
          <w:b/>
          <w:bCs/>
        </w:rPr>
        <w:t>If a NB-IoT UE detects NPDCCH with DCI Format N</w:t>
      </w:r>
      <w:r w:rsidR="00E42B67" w:rsidRPr="006A5BD0">
        <w:rPr>
          <w:rFonts w:hint="eastAsia"/>
          <w:b/>
          <w:bCs/>
        </w:rPr>
        <w:t>1</w:t>
      </w:r>
      <w:r w:rsidR="00E42B67" w:rsidRPr="006A5BD0">
        <w:rPr>
          <w:b/>
          <w:bCs/>
        </w:rPr>
        <w:t xml:space="preserve"> ending in subframe </w:t>
      </w:r>
      <w:r w:rsidR="00E42B67" w:rsidRPr="006A5BD0">
        <w:rPr>
          <w:b/>
          <w:bCs/>
          <w:i/>
        </w:rPr>
        <w:t>n</w:t>
      </w:r>
      <w:r w:rsidR="00E42B67" w:rsidRPr="006A5BD0">
        <w:rPr>
          <w:b/>
          <w:bCs/>
        </w:rPr>
        <w:t xml:space="preserve">, and if the corresponding NPDSCH transmission starts from </w:t>
      </w:r>
      <w:r w:rsidR="00E42B67" w:rsidRPr="006A5BD0">
        <w:rPr>
          <w:b/>
          <w:bCs/>
          <w:i/>
        </w:rPr>
        <w:t>n+k,</w:t>
      </w:r>
      <w:r w:rsidR="00E42B67" w:rsidRPr="006A5BD0">
        <w:rPr>
          <w:b/>
          <w:bCs/>
        </w:rPr>
        <w:t xml:space="preserve"> and </w:t>
      </w:r>
    </w:p>
    <w:p w14:paraId="5F4447D5" w14:textId="50C4723E" w:rsidR="00E42B67" w:rsidRDefault="00E42B67" w:rsidP="00E42B67">
      <w:pPr>
        <w:pStyle w:val="B1"/>
        <w:numPr>
          <w:ilvl w:val="0"/>
          <w:numId w:val="42"/>
        </w:numPr>
        <w:rPr>
          <w:b/>
          <w:bCs/>
          <w:lang w:eastAsia="zh-CN"/>
        </w:rPr>
      </w:pPr>
      <w:r w:rsidRPr="006A5BD0">
        <w:rPr>
          <w:b/>
          <w:bCs/>
        </w:rPr>
        <w:t xml:space="preserve">for FDD, if the corresponding NPUSCH </w:t>
      </w:r>
      <w:r w:rsidRPr="006A5BD0">
        <w:rPr>
          <w:rFonts w:hint="eastAsia"/>
          <w:b/>
          <w:bCs/>
        </w:rPr>
        <w:t xml:space="preserve">format 2 </w:t>
      </w:r>
      <w:r w:rsidRPr="006A5BD0">
        <w:rPr>
          <w:b/>
          <w:bCs/>
        </w:rPr>
        <w:t xml:space="preserve">transmission starts from </w:t>
      </w:r>
      <w:r w:rsidRPr="006A5BD0">
        <w:rPr>
          <w:rFonts w:hint="eastAsia"/>
          <w:b/>
          <w:bCs/>
          <w:lang w:eastAsia="zh-CN"/>
        </w:rPr>
        <w:t xml:space="preserve">subframe </w:t>
      </w:r>
      <w:r w:rsidRPr="006A5BD0">
        <w:rPr>
          <w:b/>
          <w:bCs/>
          <w:i/>
        </w:rPr>
        <w:t>n+m</w:t>
      </w:r>
      <w:r w:rsidR="00260F28" w:rsidRPr="006A5BD0">
        <w:rPr>
          <w:b/>
          <w:bCs/>
          <w:i/>
          <w:color w:val="C00000"/>
        </w:rPr>
        <w:t>+</w:t>
      </w:r>
      <m:oMath>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sidRPr="006A5BD0">
        <w:rPr>
          <w:b/>
          <w:bCs/>
          <w:color w:val="C00000"/>
        </w:rPr>
        <w:t xml:space="preserve"> </w:t>
      </w:r>
      <w:r w:rsidRPr="006A5BD0">
        <w:rPr>
          <w:b/>
          <w:bCs/>
        </w:rPr>
        <w:t xml:space="preserve">the UE is not required to monitor NPDCCH in any subframe starting from subframe </w:t>
      </w:r>
      <w:r w:rsidRPr="006A5BD0">
        <w:rPr>
          <w:b/>
          <w:bCs/>
          <w:i/>
        </w:rPr>
        <w:t>n+ k</w:t>
      </w:r>
      <w:r w:rsidRPr="006A5BD0">
        <w:rPr>
          <w:b/>
          <w:bCs/>
        </w:rPr>
        <w:t xml:space="preserve"> to subframe </w:t>
      </w:r>
      <w:r w:rsidRPr="006A5BD0">
        <w:rPr>
          <w:b/>
          <w:bCs/>
          <w:i/>
        </w:rPr>
        <w:t>n+m-1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sidRPr="006A5BD0">
        <w:rPr>
          <w:b/>
          <w:bCs/>
        </w:rPr>
        <w:t>.</w:t>
      </w:r>
      <w:r w:rsidRPr="006A5BD0">
        <w:rPr>
          <w:b/>
          <w:bCs/>
          <w:lang w:eastAsia="zh-CN"/>
        </w:rPr>
        <w:t xml:space="preserve"> </w:t>
      </w:r>
    </w:p>
    <w:p w14:paraId="3D8344D6" w14:textId="1223EC44" w:rsidR="00C60F19" w:rsidRPr="00C60F19" w:rsidRDefault="00C60F19" w:rsidP="00C60F19">
      <w:pPr>
        <w:rPr>
          <w:b/>
          <w:bCs/>
        </w:rPr>
      </w:pPr>
      <w:r w:rsidRPr="006C12DE">
        <w:rPr>
          <w:b/>
          <w:bCs/>
          <w:i/>
          <w:iCs/>
          <w:u w:val="single"/>
        </w:rPr>
        <w:t>Proposal</w:t>
      </w:r>
      <w:r w:rsidR="00372768">
        <w:rPr>
          <w:b/>
          <w:bCs/>
          <w:i/>
          <w:iCs/>
          <w:u w:val="single"/>
        </w:rPr>
        <w:t xml:space="preserve"> 4</w:t>
      </w:r>
      <w:r w:rsidRPr="00C60F19">
        <w:rPr>
          <w:b/>
          <w:bCs/>
        </w:rPr>
        <w:t xml:space="preserve">: </w:t>
      </w:r>
      <w:r w:rsidRPr="00C60F19">
        <w:rPr>
          <w:b/>
          <w:bCs/>
        </w:rPr>
        <w:t>If a NB-IoT UE detects NPDCCH with DCI Format N</w:t>
      </w:r>
      <w:r w:rsidRPr="00C60F19">
        <w:rPr>
          <w:rFonts w:hint="eastAsia"/>
          <w:b/>
          <w:bCs/>
        </w:rPr>
        <w:t>1</w:t>
      </w:r>
      <w:r w:rsidRPr="00C60F19">
        <w:rPr>
          <w:b/>
          <w:bCs/>
        </w:rPr>
        <w:t xml:space="preserve"> </w:t>
      </w:r>
      <w:r w:rsidRPr="00C60F19">
        <w:rPr>
          <w:rFonts w:hint="eastAsia"/>
          <w:b/>
          <w:bCs/>
          <w:lang w:eastAsia="zh-CN"/>
        </w:rPr>
        <w:t xml:space="preserve">for </w:t>
      </w:r>
      <w:r w:rsidRPr="00C60F19">
        <w:rPr>
          <w:b/>
          <w:bCs/>
          <w:lang w:eastAsia="zh-CN"/>
        </w:rPr>
        <w:t>"</w:t>
      </w:r>
      <w:r w:rsidRPr="00C60F19">
        <w:rPr>
          <w:rFonts w:hint="eastAsia"/>
          <w:b/>
          <w:bCs/>
          <w:lang w:eastAsia="zh-CN"/>
        </w:rPr>
        <w:t>PDCCH order</w:t>
      </w:r>
      <w:r w:rsidRPr="00C60F19">
        <w:rPr>
          <w:b/>
          <w:bCs/>
          <w:lang w:eastAsia="zh-CN"/>
        </w:rPr>
        <w:t>"</w:t>
      </w:r>
      <w:r w:rsidRPr="00C60F19">
        <w:rPr>
          <w:rFonts w:hint="eastAsia"/>
          <w:b/>
          <w:bCs/>
          <w:lang w:eastAsia="zh-CN"/>
        </w:rPr>
        <w:t xml:space="preserve"> </w:t>
      </w:r>
      <w:r w:rsidRPr="00C60F19">
        <w:rPr>
          <w:b/>
          <w:bCs/>
        </w:rPr>
        <w:t xml:space="preserve">ending in subframe </w:t>
      </w:r>
      <w:r w:rsidRPr="00C60F19">
        <w:rPr>
          <w:b/>
          <w:bCs/>
          <w:i/>
        </w:rPr>
        <w:t>n</w:t>
      </w:r>
      <w:r w:rsidRPr="00C60F19">
        <w:rPr>
          <w:b/>
          <w:bCs/>
        </w:rPr>
        <w:t>, and</w:t>
      </w:r>
    </w:p>
    <w:p w14:paraId="1B5F9928" w14:textId="7EAE0D2F" w:rsidR="00C60F19" w:rsidRPr="006C12DE" w:rsidRDefault="00C60F19" w:rsidP="006C12DE">
      <w:pPr>
        <w:pStyle w:val="B1"/>
        <w:numPr>
          <w:ilvl w:val="0"/>
          <w:numId w:val="42"/>
        </w:numPr>
        <w:rPr>
          <w:b/>
          <w:bCs/>
          <w:lang w:eastAsia="zh-CN"/>
        </w:rPr>
      </w:pPr>
      <w:r w:rsidRPr="00C60F19">
        <w:rPr>
          <w:b/>
          <w:bCs/>
        </w:rPr>
        <w:t>for FDD, if the corresponding NP</w:t>
      </w:r>
      <w:r w:rsidRPr="00C60F19">
        <w:rPr>
          <w:rFonts w:hint="eastAsia"/>
          <w:b/>
          <w:bCs/>
          <w:lang w:eastAsia="zh-CN"/>
        </w:rPr>
        <w:t>RACH</w:t>
      </w:r>
      <w:r w:rsidRPr="00C60F19">
        <w:rPr>
          <w:rFonts w:hint="eastAsia"/>
          <w:b/>
          <w:bCs/>
        </w:rPr>
        <w:t xml:space="preserve"> </w:t>
      </w:r>
      <w:r w:rsidRPr="00C60F19">
        <w:rPr>
          <w:b/>
          <w:bCs/>
        </w:rPr>
        <w:t xml:space="preserve">transmission starts from </w:t>
      </w:r>
      <w:r w:rsidRPr="00C60F19">
        <w:rPr>
          <w:rFonts w:hint="eastAsia"/>
          <w:b/>
          <w:bCs/>
          <w:lang w:eastAsia="zh-CN"/>
        </w:rPr>
        <w:t xml:space="preserve">subframe </w:t>
      </w:r>
      <w:r w:rsidRPr="00C60F19">
        <w:rPr>
          <w:b/>
          <w:bCs/>
          <w:i/>
        </w:rPr>
        <w:t>n+k</w:t>
      </w:r>
      <m:oMath>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sidRPr="00C60F19">
        <w:rPr>
          <w:b/>
          <w:bCs/>
        </w:rPr>
        <w:t xml:space="preserve">, the UE is not required to monitor NPDCCH in any subframe starting from subframe </w:t>
      </w:r>
      <w:r w:rsidRPr="00C60F19">
        <w:rPr>
          <w:b/>
          <w:bCs/>
          <w:i/>
        </w:rPr>
        <w:t xml:space="preserve">n+1 </w:t>
      </w:r>
      <w:r w:rsidRPr="00C60F19">
        <w:rPr>
          <w:b/>
          <w:bCs/>
        </w:rPr>
        <w:t xml:space="preserve">to subframe </w:t>
      </w:r>
      <w:r w:rsidRPr="00C60F19">
        <w:rPr>
          <w:b/>
          <w:bCs/>
          <w:i/>
        </w:rPr>
        <w:t>n+k-1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sidRPr="00C60F19">
        <w:rPr>
          <w:b/>
          <w:bCs/>
        </w:rPr>
        <w:t>.</w:t>
      </w:r>
      <w:r w:rsidRPr="00C60F19">
        <w:rPr>
          <w:b/>
          <w:bCs/>
          <w:lang w:eastAsia="zh-CN"/>
        </w:rPr>
        <w:t xml:space="preserve"> </w:t>
      </w:r>
    </w:p>
    <w:p w14:paraId="7B6FE430" w14:textId="2F39DB8F" w:rsidR="0054317F" w:rsidRPr="00B037AB" w:rsidRDefault="0054317F" w:rsidP="00E869B4">
      <w:pPr>
        <w:rPr>
          <w:b/>
          <w:bCs/>
          <w:iCs/>
          <w:sz w:val="22"/>
          <w:szCs w:val="22"/>
        </w:rPr>
      </w:pPr>
      <w:r w:rsidRPr="00B037AB">
        <w:rPr>
          <w:b/>
          <w:bCs/>
          <w:i/>
          <w:iCs/>
          <w:u w:val="single"/>
          <w:lang w:val="en-US"/>
        </w:rPr>
        <w:t>Proposal</w:t>
      </w:r>
      <w:r w:rsidR="00372768">
        <w:rPr>
          <w:b/>
          <w:bCs/>
          <w:i/>
          <w:iCs/>
          <w:u w:val="single"/>
          <w:lang w:val="en-US"/>
        </w:rPr>
        <w:t xml:space="preserve"> 5</w:t>
      </w:r>
      <w:r w:rsidRPr="00B037AB">
        <w:rPr>
          <w:b/>
          <w:bCs/>
          <w:lang w:val="en-US"/>
        </w:rPr>
        <w:t xml:space="preserve">: </w:t>
      </w:r>
      <w:r w:rsidR="0094476D">
        <w:rPr>
          <w:b/>
          <w:bCs/>
        </w:rPr>
        <w:t>After</w:t>
      </w:r>
      <w:r w:rsidRPr="00B037AB">
        <w:rPr>
          <w:b/>
          <w:bCs/>
        </w:rPr>
        <w:t xml:space="preserve"> a NPUSCH transmission, the UE is not required to monitor NPDCCH in any subframe starting from subframe </w:t>
      </w:r>
      <w:r w:rsidRPr="00B037AB">
        <w:rPr>
          <w:b/>
          <w:bCs/>
          <w:i/>
          <w:iCs/>
        </w:rPr>
        <w:t>n+1</w:t>
      </w:r>
      <m:oMath>
        <m:r>
          <m:rPr>
            <m:sty m:val="bi"/>
          </m:rPr>
          <w:rPr>
            <w:rFonts w:ascii="Cambria Math" w:hAnsi="Cambria Math"/>
            <w:color w:val="C00000"/>
          </w:rPr>
          <m:t>-</m:t>
        </m:r>
        <m:sSubSup>
          <m:sSubSupPr>
            <m:ctrlPr>
              <w:rPr>
                <w:rFonts w:ascii="Cambria Math" w:eastAsiaTheme="minorHAnsi" w:hAnsi="Cambria Math" w:cs="Calibri"/>
                <w:b/>
                <w:bCs/>
                <w:i/>
                <w:iCs/>
                <w:color w:val="C00000"/>
                <w:sz w:val="22"/>
                <w:szCs w:val="22"/>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sidRPr="00B037AB">
        <w:rPr>
          <w:b/>
          <w:bCs/>
          <w:i/>
          <w:iCs/>
        </w:rPr>
        <w:t xml:space="preserve"> </w:t>
      </w:r>
      <w:r w:rsidRPr="00B037AB">
        <w:rPr>
          <w:b/>
          <w:bCs/>
        </w:rPr>
        <w:t xml:space="preserve">to subframe </w:t>
      </w:r>
      <w:r w:rsidRPr="00B037AB">
        <w:rPr>
          <w:b/>
          <w:bCs/>
          <w:i/>
          <w:iCs/>
        </w:rPr>
        <w:t>n+3</w:t>
      </w:r>
      <w:r w:rsidRPr="00B037AB">
        <w:rPr>
          <w:b/>
          <w:bCs/>
        </w:rPr>
        <w:t xml:space="preserve"> </w:t>
      </w:r>
      <m:oMath>
        <m:r>
          <m:rPr>
            <m:sty m:val="bi"/>
          </m:rPr>
          <w:rPr>
            <w:rFonts w:ascii="Cambria Math" w:hAnsi="Cambria Math"/>
            <w:color w:val="C00000"/>
          </w:rPr>
          <m:t>-</m:t>
        </m:r>
        <m:sSubSup>
          <m:sSubSupPr>
            <m:ctrlPr>
              <w:rPr>
                <w:rFonts w:ascii="Cambria Math" w:eastAsiaTheme="minorHAnsi" w:hAnsi="Cambria Math" w:cs="Calibri"/>
                <w:b/>
                <w:bCs/>
                <w:i/>
                <w:iCs/>
                <w:color w:val="C00000"/>
                <w:sz w:val="22"/>
                <w:szCs w:val="22"/>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sidR="00581DB1">
        <w:rPr>
          <w:b/>
          <w:bCs/>
          <w:iCs/>
          <w:sz w:val="22"/>
          <w:szCs w:val="22"/>
        </w:rPr>
        <w:t xml:space="preserve">, </w:t>
      </w:r>
      <w:r w:rsidR="00581DB1" w:rsidRPr="003004C2">
        <w:rPr>
          <w:b/>
          <w:bCs/>
          <w:iCs/>
        </w:rPr>
        <w:t>where the NPUSCH transmission ends in</w:t>
      </w:r>
      <w:r w:rsidR="003004C2" w:rsidRPr="003004C2">
        <w:rPr>
          <w:b/>
          <w:bCs/>
          <w:iCs/>
        </w:rPr>
        <w:t xml:space="preserve"> subframe </w:t>
      </w:r>
      <m:oMath>
        <m:r>
          <m:rPr>
            <m:sty m:val="bi"/>
          </m:rPr>
          <w:rPr>
            <w:rFonts w:ascii="Cambria Math" w:hAnsi="Cambria Math"/>
          </w:rPr>
          <m:t>n</m:t>
        </m:r>
      </m:oMath>
    </w:p>
    <w:p w14:paraId="3E160191" w14:textId="3928C463" w:rsidR="00B037AB" w:rsidRPr="00B037AB" w:rsidRDefault="00FC2C4F" w:rsidP="00436BFE">
      <w:pPr>
        <w:spacing w:line="256" w:lineRule="auto"/>
        <w:rPr>
          <w:b/>
          <w:bCs/>
          <w:iCs/>
        </w:rPr>
      </w:pPr>
      <w:r w:rsidRPr="00B037AB">
        <w:rPr>
          <w:b/>
          <w:bCs/>
          <w:i/>
          <w:u w:val="single"/>
        </w:rPr>
        <w:t>Proposal</w:t>
      </w:r>
      <w:r w:rsidR="00372768">
        <w:rPr>
          <w:b/>
          <w:bCs/>
          <w:i/>
          <w:u w:val="single"/>
        </w:rPr>
        <w:t xml:space="preserve"> 6</w:t>
      </w:r>
      <w:r w:rsidRPr="00B037AB">
        <w:rPr>
          <w:b/>
          <w:bCs/>
          <w:iCs/>
        </w:rPr>
        <w:t xml:space="preserve">: </w:t>
      </w:r>
      <w:r w:rsidR="00745BBB" w:rsidRPr="00B037AB">
        <w:rPr>
          <w:b/>
          <w:bCs/>
          <w:iCs/>
        </w:rPr>
        <w:t xml:space="preserve">For Type B half-duplex </w:t>
      </w:r>
      <w:r w:rsidR="00F33A06" w:rsidRPr="00B037AB">
        <w:rPr>
          <w:b/>
          <w:bCs/>
          <w:iCs/>
        </w:rPr>
        <w:t xml:space="preserve">guard periods, </w:t>
      </w:r>
      <w:r w:rsidR="00436BFE" w:rsidRPr="00B037AB">
        <w:rPr>
          <w:b/>
          <w:bCs/>
          <w:iCs/>
        </w:rPr>
        <w:t>a</w:t>
      </w:r>
      <w:r w:rsidR="00F33A06" w:rsidRPr="00B037AB">
        <w:rPr>
          <w:b/>
          <w:bCs/>
          <w:iCs/>
        </w:rPr>
        <w:t xml:space="preserve"> UE </w:t>
      </w:r>
      <w:r w:rsidR="00312866" w:rsidRPr="00B037AB">
        <w:rPr>
          <w:b/>
          <w:bCs/>
          <w:iCs/>
        </w:rPr>
        <w:t>is not expected to receive a downlink subframe</w:t>
      </w:r>
      <w:r w:rsidR="00B037AB" w:rsidRPr="00B037AB">
        <w:rPr>
          <w:b/>
          <w:bCs/>
          <w:iCs/>
        </w:rPr>
        <w:t>:</w:t>
      </w:r>
    </w:p>
    <w:p w14:paraId="7F8D7F60" w14:textId="008821CB" w:rsidR="00B037AB" w:rsidRPr="00B037AB" w:rsidRDefault="00312866" w:rsidP="00B037AB">
      <w:pPr>
        <w:pStyle w:val="ListParagraph"/>
        <w:numPr>
          <w:ilvl w:val="0"/>
          <w:numId w:val="41"/>
        </w:numPr>
        <w:spacing w:line="256" w:lineRule="auto"/>
        <w:rPr>
          <w:rFonts w:cstheme="minorBidi"/>
          <w:b/>
          <w:bCs/>
          <w:color w:val="000000" w:themeColor="text1"/>
          <w:kern w:val="24"/>
        </w:rPr>
      </w:pPr>
      <w:r w:rsidRPr="00B037AB">
        <w:rPr>
          <w:rFonts w:cstheme="minorBidi"/>
          <w:b/>
          <w:bCs/>
          <w:color w:val="000000" w:themeColor="text1"/>
          <w:kern w:val="24"/>
        </w:rPr>
        <w:t xml:space="preserve">preceding an uplink subframe by </w:t>
      </w:r>
      <m:oMath>
        <m:d>
          <m:dPr>
            <m:ctrlPr>
              <w:rPr>
                <w:rFonts w:ascii="Cambria Math" w:hAnsi="Cambria Math" w:cstheme="minorBidi"/>
                <w:b/>
                <w:bCs/>
                <w:i/>
                <w:iCs/>
                <w:color w:val="000000" w:themeColor="text1"/>
                <w:kern w:val="24"/>
                <w:lang w:val="en-US"/>
              </w:rPr>
            </m:ctrlPr>
          </m:dPr>
          <m:e>
            <m:sSubSup>
              <m:sSubSupPr>
                <m:ctrlPr>
                  <w:rPr>
                    <w:rFonts w:ascii="Cambria Math" w:hAnsi="Cambria Math" w:cstheme="minorBidi"/>
                    <w:b/>
                    <w:bCs/>
                    <w:i/>
                    <w:iCs/>
                    <w:color w:val="C00000"/>
                    <w:kern w:val="24"/>
                    <w:lang w:val="en-US"/>
                  </w:rPr>
                </m:ctrlPr>
              </m:sSubSupPr>
              <m:e>
                <m:r>
                  <m:rPr>
                    <m:sty m:val="bi"/>
                  </m:rPr>
                  <w:rPr>
                    <w:rFonts w:ascii="Cambria Math" w:hAnsi="Cambria Math" w:cstheme="minorBidi"/>
                    <w:color w:val="C00000"/>
                    <w:kern w:val="24"/>
                    <w:lang w:val="en-US"/>
                  </w:rPr>
                  <m:t>1+n</m:t>
                </m:r>
              </m:e>
              <m:sub>
                <m:r>
                  <m:rPr>
                    <m:sty m:val="bi"/>
                  </m:rPr>
                  <w:rPr>
                    <w:rFonts w:ascii="Cambria Math" w:hAnsi="Cambria Math" w:cstheme="minorBidi"/>
                    <w:color w:val="C00000"/>
                    <w:kern w:val="24"/>
                    <w:lang w:val="en-US"/>
                  </w:rPr>
                  <m:t>TA</m:t>
                </m:r>
              </m:sub>
              <m:sup>
                <m:r>
                  <m:rPr>
                    <m:sty m:val="bi"/>
                  </m:rPr>
                  <w:rPr>
                    <w:rFonts w:ascii="Cambria Math" w:hAnsi="Cambria Math" w:cstheme="minorBidi"/>
                    <w:color w:val="C00000"/>
                    <w:kern w:val="24"/>
                    <w:lang w:val="en-US"/>
                  </w:rPr>
                  <m:t>UE</m:t>
                </m:r>
              </m:sup>
            </m:sSubSup>
          </m:e>
        </m:d>
      </m:oMath>
      <w:r w:rsidRPr="00B037AB">
        <w:rPr>
          <w:rFonts w:cstheme="minorBidi"/>
          <w:b/>
          <w:bCs/>
          <w:color w:val="000000" w:themeColor="text1"/>
          <w:kern w:val="24"/>
        </w:rPr>
        <w:t xml:space="preserve"> subframes from the same UE</w:t>
      </w:r>
      <w:r w:rsidR="00B037AB" w:rsidRPr="00B037AB">
        <w:rPr>
          <w:rFonts w:cstheme="minorBidi"/>
          <w:b/>
          <w:bCs/>
          <w:color w:val="000000" w:themeColor="text1"/>
          <w:kern w:val="24"/>
        </w:rPr>
        <w:t>,</w:t>
      </w:r>
      <w:r w:rsidR="00436BFE" w:rsidRPr="00B037AB">
        <w:rPr>
          <w:rFonts w:cstheme="minorBidi"/>
          <w:b/>
          <w:bCs/>
          <w:color w:val="000000" w:themeColor="text1"/>
          <w:kern w:val="24"/>
        </w:rPr>
        <w:t xml:space="preserve"> and</w:t>
      </w:r>
    </w:p>
    <w:p w14:paraId="76A9CD3C" w14:textId="3FF91126" w:rsidR="00372768" w:rsidRPr="00372768" w:rsidRDefault="00436BFE" w:rsidP="00372768">
      <w:pPr>
        <w:pStyle w:val="ListParagraph"/>
        <w:numPr>
          <w:ilvl w:val="0"/>
          <w:numId w:val="41"/>
        </w:numPr>
        <w:spacing w:line="256" w:lineRule="auto"/>
        <w:rPr>
          <w:rFonts w:cstheme="minorBidi"/>
          <w:b/>
          <w:bCs/>
          <w:color w:val="000000" w:themeColor="text1"/>
          <w:kern w:val="24"/>
        </w:rPr>
      </w:pPr>
      <w:r w:rsidRPr="00B037AB">
        <w:rPr>
          <w:rFonts w:cstheme="minorBidi"/>
          <w:b/>
          <w:bCs/>
          <w:color w:val="000000" w:themeColor="text1"/>
          <w:kern w:val="24"/>
        </w:rPr>
        <w:t xml:space="preserve">following an uplink subframe by </w:t>
      </w:r>
      <m:oMath>
        <m:d>
          <m:dPr>
            <m:ctrlPr>
              <w:rPr>
                <w:rFonts w:ascii="Cambria Math" w:hAnsi="Cambria Math" w:cstheme="minorBidi"/>
                <w:b/>
                <w:bCs/>
                <w:i/>
                <w:iCs/>
                <w:color w:val="000000" w:themeColor="text1"/>
                <w:kern w:val="24"/>
                <w:lang w:val="en-US"/>
              </w:rPr>
            </m:ctrlPr>
          </m:dPr>
          <m:e>
            <m:sSubSup>
              <m:sSubSupPr>
                <m:ctrlPr>
                  <w:rPr>
                    <w:rFonts w:ascii="Cambria Math" w:hAnsi="Cambria Math" w:cstheme="minorBidi"/>
                    <w:b/>
                    <w:bCs/>
                    <w:i/>
                    <w:iCs/>
                    <w:color w:val="C00000"/>
                    <w:kern w:val="24"/>
                    <w:lang w:val="en-US"/>
                  </w:rPr>
                </m:ctrlPr>
              </m:sSubSupPr>
              <m:e>
                <m:r>
                  <m:rPr>
                    <m:sty m:val="bi"/>
                  </m:rPr>
                  <w:rPr>
                    <w:rFonts w:ascii="Cambria Math" w:hAnsi="Cambria Math" w:cstheme="minorBidi"/>
                    <w:color w:val="C00000"/>
                    <w:kern w:val="24"/>
                    <w:lang w:val="en-US"/>
                  </w:rPr>
                  <m:t>1-n</m:t>
                </m:r>
              </m:e>
              <m:sub>
                <m:r>
                  <m:rPr>
                    <m:sty m:val="bi"/>
                  </m:rPr>
                  <w:rPr>
                    <w:rFonts w:ascii="Cambria Math" w:hAnsi="Cambria Math" w:cstheme="minorBidi"/>
                    <w:color w:val="C00000"/>
                    <w:kern w:val="24"/>
                    <w:lang w:val="en-US"/>
                  </w:rPr>
                  <m:t>TA</m:t>
                </m:r>
              </m:sub>
              <m:sup>
                <m:r>
                  <m:rPr>
                    <m:sty m:val="bi"/>
                  </m:rPr>
                  <w:rPr>
                    <w:rFonts w:ascii="Cambria Math" w:hAnsi="Cambria Math" w:cstheme="minorBidi"/>
                    <w:color w:val="C00000"/>
                    <w:kern w:val="24"/>
                    <w:lang w:val="en-US"/>
                  </w:rPr>
                  <m:t>UE</m:t>
                </m:r>
              </m:sup>
            </m:sSubSup>
          </m:e>
        </m:d>
      </m:oMath>
      <w:r w:rsidRPr="00B037AB">
        <w:rPr>
          <w:rFonts w:cstheme="minorBidi"/>
          <w:b/>
          <w:bCs/>
          <w:color w:val="000000" w:themeColor="text1"/>
          <w:kern w:val="24"/>
        </w:rPr>
        <w:t xml:space="preserve"> subframes from the same UE.</w:t>
      </w:r>
    </w:p>
    <w:p w14:paraId="70533B7C" w14:textId="77777777" w:rsidR="0037788D" w:rsidRPr="00064278" w:rsidRDefault="0037788D" w:rsidP="0037788D">
      <w:pPr>
        <w:pStyle w:val="Heading1"/>
        <w:numPr>
          <w:ilvl w:val="0"/>
          <w:numId w:val="1"/>
        </w:numPr>
        <w:tabs>
          <w:tab w:val="clear" w:pos="1140"/>
        </w:tabs>
        <w:jc w:val="both"/>
        <w:rPr>
          <w:b/>
          <w:bCs/>
          <w:lang w:val="en-US"/>
        </w:rPr>
      </w:pPr>
      <w:r>
        <w:lastRenderedPageBreak/>
        <w:t>Aspects related to the reporting of UE-specific TA</w:t>
      </w:r>
    </w:p>
    <w:p w14:paraId="441DF603" w14:textId="77777777" w:rsidR="0037788D" w:rsidRPr="00AC6C81" w:rsidRDefault="0037788D" w:rsidP="0037788D">
      <w:pPr>
        <w:rPr>
          <w:lang w:val="en-US"/>
        </w:rPr>
      </w:pPr>
      <w:r w:rsidRPr="00AC6C81">
        <w:rPr>
          <w:lang w:val="en-US"/>
        </w:rPr>
        <w:t>In terms of triggering conditions, a natural option is for the UE to report a new value of UE-specific TA when it determines that the last reported value differs from the current value by a certain threshold. This mechanism ensures that the TA is tracked accurately by the base-station, in an on-demand basis. The network can use this value to update the UE-specific K_offset to maintain causality and avoid collisions in half-duplex scheduling.</w:t>
      </w:r>
    </w:p>
    <w:p w14:paraId="4C73B591" w14:textId="575A909C" w:rsidR="0037788D" w:rsidRPr="00FB4122" w:rsidRDefault="0037788D" w:rsidP="0037788D">
      <w:pPr>
        <w:rPr>
          <w:b/>
          <w:bCs/>
          <w:color w:val="2F5496" w:themeColor="accent1" w:themeShade="BF"/>
          <w:lang w:val="en-US"/>
        </w:rPr>
      </w:pPr>
      <w:r w:rsidRPr="00FB4122">
        <w:rPr>
          <w:b/>
          <w:bCs/>
          <w:i/>
          <w:iCs/>
          <w:color w:val="2F5496" w:themeColor="accent1" w:themeShade="BF"/>
          <w:u w:val="single"/>
          <w:lang w:val="en-US"/>
        </w:rPr>
        <w:t xml:space="preserve">Proposal </w:t>
      </w:r>
      <w:r w:rsidR="004F412A">
        <w:rPr>
          <w:b/>
          <w:bCs/>
          <w:i/>
          <w:iCs/>
          <w:color w:val="2F5496" w:themeColor="accent1" w:themeShade="BF"/>
          <w:u w:val="single"/>
          <w:lang w:val="en-US"/>
        </w:rPr>
        <w:t>7</w:t>
      </w:r>
      <w:r w:rsidRPr="00FB4122">
        <w:rPr>
          <w:b/>
          <w:bCs/>
          <w:color w:val="2F5496" w:themeColor="accent1" w:themeShade="BF"/>
          <w:lang w:val="en-US"/>
        </w:rPr>
        <w:t xml:space="preserve">: A UE reports the UE-specific TA to the network when the previously reported value differs from a current value by a pre-determined threshold. </w:t>
      </w:r>
    </w:p>
    <w:p w14:paraId="0E096BC6" w14:textId="77777777" w:rsidR="0037788D" w:rsidRDefault="0037788D" w:rsidP="0037788D">
      <w:pPr>
        <w:rPr>
          <w:lang w:val="en-US"/>
        </w:rPr>
      </w:pPr>
      <w:r>
        <w:rPr>
          <w:lang w:val="en-US"/>
        </w:rPr>
        <w:t>In terms of reporting the TA, a solution that is attractive for NTN (since it avoids round-trip delays in case an uplink resource is to be requested) is to use an uplink semi-persistent scheduling (SPS) message (such as the one specified for NB-IoT to transmit a buffer status report (BSR)) on which the UE can transmit this TA report when required.</w:t>
      </w:r>
    </w:p>
    <w:p w14:paraId="445A3E5A" w14:textId="3B282B90" w:rsidR="0037788D" w:rsidRDefault="0037788D" w:rsidP="0037788D">
      <w:pPr>
        <w:rPr>
          <w:b/>
          <w:bCs/>
          <w:color w:val="2F5496" w:themeColor="accent1" w:themeShade="BF"/>
          <w:lang w:val="en-US"/>
        </w:rPr>
      </w:pPr>
      <w:r w:rsidRPr="00FB4122">
        <w:rPr>
          <w:b/>
          <w:bCs/>
          <w:i/>
          <w:iCs/>
          <w:color w:val="2F5496" w:themeColor="accent1" w:themeShade="BF"/>
          <w:u w:val="single"/>
          <w:lang w:val="en-US"/>
        </w:rPr>
        <w:t xml:space="preserve">Proposal </w:t>
      </w:r>
      <w:r w:rsidR="004F412A">
        <w:rPr>
          <w:b/>
          <w:bCs/>
          <w:i/>
          <w:iCs/>
          <w:color w:val="2F5496" w:themeColor="accent1" w:themeShade="BF"/>
          <w:u w:val="single"/>
          <w:lang w:val="en-US"/>
        </w:rPr>
        <w:t>8</w:t>
      </w:r>
      <w:r w:rsidRPr="00FB4122">
        <w:rPr>
          <w:b/>
          <w:bCs/>
          <w:color w:val="2F5496" w:themeColor="accent1" w:themeShade="BF"/>
          <w:lang w:val="en-US"/>
        </w:rPr>
        <w:t>: The UE-specific TA is reported in an uplink semi-persistent scheduling (UL-SPS) message, such as the one used for reporting buffer status reports (BSRs) in NB-IoT.</w:t>
      </w:r>
    </w:p>
    <w:p w14:paraId="4817EC30" w14:textId="085D0A3C" w:rsidR="0006587F" w:rsidRPr="00DC77DB" w:rsidRDefault="0006587F" w:rsidP="0037788D">
      <w:pPr>
        <w:rPr>
          <w:lang w:val="en-US"/>
        </w:rPr>
      </w:pPr>
      <w:r w:rsidRPr="00DC77DB">
        <w:rPr>
          <w:lang w:val="en-US"/>
        </w:rPr>
        <w:t>Another aspect related to TA reporting that has been proposed by some companies is the reporting of some form of “differential TA”</w:t>
      </w:r>
      <w:r w:rsidR="007F3D75" w:rsidRPr="00DC77DB">
        <w:rPr>
          <w:lang w:val="en-US"/>
        </w:rPr>
        <w:t xml:space="preserve"> in </w:t>
      </w:r>
      <w:r w:rsidR="00340FB1">
        <w:rPr>
          <w:lang w:val="en-US"/>
        </w:rPr>
        <w:t>the</w:t>
      </w:r>
      <w:r w:rsidR="007F3D75" w:rsidRPr="00DC77DB">
        <w:rPr>
          <w:lang w:val="en-US"/>
        </w:rPr>
        <w:t xml:space="preserve"> TA report. This isn’t a good idea, since any error in </w:t>
      </w:r>
      <w:r w:rsidR="00340FB1">
        <w:rPr>
          <w:lang w:val="en-US"/>
        </w:rPr>
        <w:t xml:space="preserve">the </w:t>
      </w:r>
      <w:r w:rsidR="007F3D75" w:rsidRPr="00DC77DB">
        <w:rPr>
          <w:lang w:val="en-US"/>
        </w:rPr>
        <w:t xml:space="preserve">reception of a prior </w:t>
      </w:r>
      <w:r w:rsidR="00E11416">
        <w:rPr>
          <w:lang w:val="en-US"/>
        </w:rPr>
        <w:t xml:space="preserve">TA </w:t>
      </w:r>
      <w:r w:rsidR="007F3D75" w:rsidRPr="00DC77DB">
        <w:rPr>
          <w:lang w:val="en-US"/>
        </w:rPr>
        <w:t xml:space="preserve">report by the network will </w:t>
      </w:r>
      <w:r w:rsidR="00340FB1">
        <w:rPr>
          <w:lang w:val="en-US"/>
        </w:rPr>
        <w:t xml:space="preserve">result in error propagation </w:t>
      </w:r>
      <w:r w:rsidR="00E11416">
        <w:rPr>
          <w:lang w:val="en-US"/>
        </w:rPr>
        <w:t>with regards to</w:t>
      </w:r>
      <w:r w:rsidR="00366839">
        <w:rPr>
          <w:lang w:val="en-US"/>
        </w:rPr>
        <w:t xml:space="preserve"> the TA determination </w:t>
      </w:r>
      <w:r w:rsidR="00791B75">
        <w:rPr>
          <w:lang w:val="en-US"/>
        </w:rPr>
        <w:t>at</w:t>
      </w:r>
      <w:r w:rsidR="00366839">
        <w:rPr>
          <w:lang w:val="en-US"/>
        </w:rPr>
        <w:t xml:space="preserve"> the network </w:t>
      </w:r>
      <w:r w:rsidR="00791B75">
        <w:rPr>
          <w:lang w:val="en-US"/>
        </w:rPr>
        <w:t xml:space="preserve">side </w:t>
      </w:r>
      <w:r w:rsidR="00366839">
        <w:rPr>
          <w:lang w:val="en-US"/>
        </w:rPr>
        <w:t>(critical for half-duplex scheduling)</w:t>
      </w:r>
      <w:r w:rsidR="009144A5" w:rsidRPr="00DC77DB">
        <w:rPr>
          <w:lang w:val="en-US"/>
        </w:rPr>
        <w:t>.</w:t>
      </w:r>
    </w:p>
    <w:p w14:paraId="4F98EDF6" w14:textId="41CCC75E" w:rsidR="009144A5" w:rsidRDefault="009144A5" w:rsidP="0037788D">
      <w:pPr>
        <w:rPr>
          <w:b/>
          <w:bCs/>
          <w:color w:val="2F5496" w:themeColor="accent1" w:themeShade="BF"/>
          <w:lang w:val="en-US"/>
        </w:rPr>
      </w:pPr>
      <w:r w:rsidRPr="00DC77DB">
        <w:rPr>
          <w:b/>
          <w:bCs/>
          <w:i/>
          <w:iCs/>
          <w:color w:val="2F5496" w:themeColor="accent1" w:themeShade="BF"/>
          <w:u w:val="single"/>
          <w:lang w:val="en-US"/>
        </w:rPr>
        <w:t xml:space="preserve">Proposal </w:t>
      </w:r>
      <w:r w:rsidR="004F412A">
        <w:rPr>
          <w:b/>
          <w:bCs/>
          <w:i/>
          <w:iCs/>
          <w:color w:val="2F5496" w:themeColor="accent1" w:themeShade="BF"/>
          <w:u w:val="single"/>
          <w:lang w:val="en-US"/>
        </w:rPr>
        <w:t>9</w:t>
      </w:r>
      <w:r>
        <w:rPr>
          <w:b/>
          <w:bCs/>
          <w:color w:val="2F5496" w:themeColor="accent1" w:themeShade="BF"/>
          <w:lang w:val="en-US"/>
        </w:rPr>
        <w:t xml:space="preserve">: The UE-specific TA report </w:t>
      </w:r>
      <w:r w:rsidR="00DC77DB">
        <w:rPr>
          <w:b/>
          <w:bCs/>
          <w:color w:val="2F5496" w:themeColor="accent1" w:themeShade="BF"/>
          <w:lang w:val="en-US"/>
        </w:rPr>
        <w:t xml:space="preserve">is self-contained, and not differential w.r.t a previous </w:t>
      </w:r>
      <w:r w:rsidR="00233298">
        <w:rPr>
          <w:b/>
          <w:bCs/>
          <w:color w:val="2F5496" w:themeColor="accent1" w:themeShade="BF"/>
          <w:lang w:val="en-US"/>
        </w:rPr>
        <w:t xml:space="preserve">TA </w:t>
      </w:r>
      <w:r w:rsidR="00DC77DB">
        <w:rPr>
          <w:b/>
          <w:bCs/>
          <w:color w:val="2F5496" w:themeColor="accent1" w:themeShade="BF"/>
          <w:lang w:val="en-US"/>
        </w:rPr>
        <w:t>report or value.</w:t>
      </w:r>
    </w:p>
    <w:p w14:paraId="10041298" w14:textId="77777777" w:rsidR="00BF33C1" w:rsidRPr="00FB4122" w:rsidRDefault="00BF33C1" w:rsidP="0037788D">
      <w:pPr>
        <w:rPr>
          <w:b/>
          <w:bCs/>
          <w:color w:val="2F5496" w:themeColor="accent1" w:themeShade="BF"/>
          <w:lang w:val="en-US"/>
        </w:rPr>
      </w:pP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2BBDA5A1" w14:textId="13B081CF" w:rsidR="009D5294" w:rsidRDefault="000236C6" w:rsidP="006C1D96">
      <w:r w:rsidRPr="000236C6">
        <w:t xml:space="preserve">In this contribution we presented our views on </w:t>
      </w:r>
      <w:r w:rsidR="00FD4AD2">
        <w:t>enhancements for</w:t>
      </w:r>
      <w:r w:rsidR="001B1620">
        <w:t xml:space="preserve"> NB-IoT/eMTC over NTN</w:t>
      </w:r>
      <w:r w:rsidR="000E792E" w:rsidRPr="000E792E">
        <w:t xml:space="preserve"> </w:t>
      </w:r>
      <w:r w:rsidR="000E792E">
        <w:t>as it relates to timing relationship enhancements</w:t>
      </w:r>
      <w:r w:rsidRPr="000236C6">
        <w:t xml:space="preserve">. </w:t>
      </w:r>
      <w:r w:rsidR="00BC3A60">
        <w:t>We summarize our proposals below.</w:t>
      </w:r>
    </w:p>
    <w:p w14:paraId="7C3ED31A" w14:textId="77777777" w:rsidR="004F412A" w:rsidRDefault="004F412A" w:rsidP="004F412A">
      <w:pPr>
        <w:rPr>
          <w:b/>
          <w:bCs/>
        </w:rPr>
      </w:pPr>
      <w:r w:rsidRPr="00B037AB">
        <w:rPr>
          <w:b/>
          <w:bCs/>
          <w:i/>
          <w:iCs/>
          <w:u w:val="single"/>
          <w:lang w:val="en-US"/>
        </w:rPr>
        <w:t>Proposal</w:t>
      </w:r>
      <w:r>
        <w:rPr>
          <w:b/>
          <w:bCs/>
          <w:i/>
          <w:iCs/>
          <w:u w:val="single"/>
          <w:lang w:val="en-US"/>
        </w:rPr>
        <w:t xml:space="preserve"> 1</w:t>
      </w:r>
      <w:r w:rsidRPr="00B037AB">
        <w:rPr>
          <w:b/>
          <w:bCs/>
          <w:lang w:val="en-US"/>
        </w:rPr>
        <w:t xml:space="preserve">: </w:t>
      </w:r>
      <w:r>
        <w:rPr>
          <w:b/>
          <w:bCs/>
          <w:lang w:val="en-US"/>
        </w:rPr>
        <w:t>B</w:t>
      </w:r>
      <w:r w:rsidRPr="00B037AB">
        <w:rPr>
          <w:b/>
          <w:bCs/>
        </w:rPr>
        <w:t>efore a NPUSCH transmission for the case of two HARQ processes</w:t>
      </w:r>
      <w:r>
        <w:rPr>
          <w:b/>
          <w:bCs/>
        </w:rPr>
        <w:t xml:space="preserve"> (where the NPDCCH scheduling the NPUSCH ends in subframe </w:t>
      </w:r>
      <m:oMath>
        <m:r>
          <m:rPr>
            <m:sty m:val="bi"/>
          </m:rPr>
          <w:rPr>
            <w:rFonts w:ascii="Cambria Math" w:hAnsi="Cambria Math"/>
          </w:rPr>
          <m:t>n</m:t>
        </m:r>
      </m:oMath>
      <w:r>
        <w:rPr>
          <w:b/>
          <w:bCs/>
        </w:rPr>
        <w:t xml:space="preserve"> and the NPUSCH starts from </w:t>
      </w:r>
      <m:oMath>
        <m:r>
          <m:rPr>
            <m:sty m:val="bi"/>
          </m:rPr>
          <w:rPr>
            <w:rFonts w:ascii="Cambria Math" w:hAnsi="Cambria Math"/>
          </w:rPr>
          <m:t>n+k</m:t>
        </m:r>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Pr>
          <w:b/>
          <w:bCs/>
        </w:rPr>
        <w:t>)</w:t>
      </w:r>
    </w:p>
    <w:p w14:paraId="1135805D" w14:textId="77777777" w:rsidR="004F412A" w:rsidRPr="00880446" w:rsidRDefault="004F412A" w:rsidP="004F412A">
      <w:pPr>
        <w:pStyle w:val="ListParagraph"/>
        <w:numPr>
          <w:ilvl w:val="0"/>
          <w:numId w:val="42"/>
        </w:numPr>
        <w:rPr>
          <w:b/>
          <w:bCs/>
          <w:lang w:val="en-US"/>
        </w:rPr>
      </w:pPr>
      <w:r>
        <w:rPr>
          <w:b/>
          <w:bCs/>
        </w:rPr>
        <w:t>For</w:t>
      </w:r>
      <w:r w:rsidRPr="003D4599">
        <w:rPr>
          <w:b/>
          <w:bCs/>
        </w:rPr>
        <w:t xml:space="preserve"> single</w:t>
      </w:r>
      <w:r>
        <w:rPr>
          <w:b/>
          <w:bCs/>
        </w:rPr>
        <w:t>-</w:t>
      </w:r>
      <w:r w:rsidRPr="003D4599">
        <w:rPr>
          <w:b/>
          <w:bCs/>
        </w:rPr>
        <w:t>TB</w:t>
      </w:r>
      <w:r>
        <w:rPr>
          <w:b/>
          <w:bCs/>
        </w:rPr>
        <w:t xml:space="preserve"> scheduling</w:t>
      </w:r>
      <w:r w:rsidRPr="003D4599">
        <w:rPr>
          <w:b/>
          <w:bCs/>
        </w:rPr>
        <w:t xml:space="preserve">, the UE is not required to monitor NPDCCH in any subframe starting from subframe </w:t>
      </w:r>
      <w:r w:rsidRPr="003D4599">
        <w:rPr>
          <w:b/>
          <w:bCs/>
          <w:i/>
          <w:iCs/>
        </w:rPr>
        <w:t>n+k-2</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sidRPr="003D4599">
        <w:rPr>
          <w:b/>
          <w:bCs/>
        </w:rPr>
        <w:t xml:space="preserve"> to subframe </w:t>
      </w:r>
      <w:r w:rsidRPr="003D4599">
        <w:rPr>
          <w:b/>
          <w:bCs/>
          <w:i/>
          <w:iCs/>
        </w:rPr>
        <w:t>n+k-1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4C8A2343" w14:textId="77777777" w:rsidR="004F412A" w:rsidRPr="005F279A" w:rsidRDefault="004F412A" w:rsidP="004F412A">
      <w:pPr>
        <w:pStyle w:val="ListParagraph"/>
        <w:numPr>
          <w:ilvl w:val="0"/>
          <w:numId w:val="42"/>
        </w:numPr>
        <w:rPr>
          <w:b/>
          <w:bCs/>
          <w:lang w:val="en-US"/>
        </w:rPr>
      </w:pPr>
      <w:r>
        <w:rPr>
          <w:b/>
          <w:bCs/>
        </w:rPr>
        <w:t xml:space="preserve">For multi-TB scheduling, the UE is not required to monitor NPDCCH in any subframe starting from </w:t>
      </w:r>
      <w:r w:rsidRPr="00845880">
        <w:rPr>
          <w:b/>
          <w:bCs/>
        </w:rPr>
        <w:t xml:space="preserve">subframe </w:t>
      </w:r>
      <w:r w:rsidRPr="00845880">
        <w:rPr>
          <w:b/>
          <w:bCs/>
          <w:i/>
          <w:iCs/>
        </w:rPr>
        <w:t>n+1</w:t>
      </w:r>
      <w:r w:rsidRPr="00845880">
        <w:rPr>
          <w:b/>
          <w:bCs/>
        </w:rPr>
        <w:t xml:space="preserve"> to subframe </w:t>
      </w:r>
      <w:r w:rsidRPr="00845880">
        <w:rPr>
          <w:b/>
          <w:bCs/>
          <w:i/>
          <w:iCs/>
        </w:rPr>
        <w:t>n+k-1</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6A779302" w14:textId="77777777" w:rsidR="004F412A" w:rsidRDefault="004F412A" w:rsidP="004F412A">
      <w:pPr>
        <w:rPr>
          <w:b/>
          <w:bCs/>
        </w:rPr>
      </w:pPr>
      <w:r w:rsidRPr="00CE4D3A">
        <w:rPr>
          <w:b/>
          <w:bCs/>
          <w:i/>
          <w:iCs/>
          <w:u w:val="single"/>
          <w:lang w:val="en-US"/>
        </w:rPr>
        <w:t>Proposal</w:t>
      </w:r>
      <w:r>
        <w:rPr>
          <w:b/>
          <w:bCs/>
          <w:i/>
          <w:iCs/>
          <w:u w:val="single"/>
          <w:lang w:val="en-US"/>
        </w:rPr>
        <w:t xml:space="preserve"> 2</w:t>
      </w:r>
      <w:r w:rsidRPr="00CE4D3A">
        <w:rPr>
          <w:b/>
          <w:bCs/>
          <w:lang w:val="en-US"/>
        </w:rPr>
        <w:t xml:space="preserve">: </w:t>
      </w:r>
      <w:r>
        <w:rPr>
          <w:b/>
          <w:bCs/>
        </w:rPr>
        <w:t>Before</w:t>
      </w:r>
      <w:r w:rsidRPr="00CE4D3A">
        <w:rPr>
          <w:b/>
          <w:bCs/>
        </w:rPr>
        <w:t xml:space="preserve"> a NPUSCH transmission for the case of </w:t>
      </w:r>
      <w:r>
        <w:rPr>
          <w:b/>
          <w:bCs/>
        </w:rPr>
        <w:t>single</w:t>
      </w:r>
      <w:r w:rsidRPr="00CE4D3A">
        <w:rPr>
          <w:b/>
          <w:bCs/>
        </w:rPr>
        <w:t xml:space="preserve"> HARQ process,</w:t>
      </w:r>
      <w:r>
        <w:rPr>
          <w:b/>
          <w:bCs/>
        </w:rPr>
        <w:t xml:space="preserve"> or before one triggered by a RAR</w:t>
      </w:r>
      <w:r w:rsidRPr="00CE4D3A">
        <w:rPr>
          <w:b/>
          <w:bCs/>
        </w:rPr>
        <w:t xml:space="preserve"> </w:t>
      </w:r>
      <w:r>
        <w:rPr>
          <w:b/>
          <w:bCs/>
        </w:rPr>
        <w:t>(</w:t>
      </w:r>
      <w:r w:rsidRPr="00CE4D3A">
        <w:rPr>
          <w:b/>
          <w:bCs/>
        </w:rPr>
        <w:t>where the NPDCCH scheduling the NPUSCH</w:t>
      </w:r>
      <w:r>
        <w:rPr>
          <w:b/>
          <w:bCs/>
        </w:rPr>
        <w:t xml:space="preserve"> or the RAR</w:t>
      </w:r>
      <w:r w:rsidRPr="00CE4D3A">
        <w:rPr>
          <w:b/>
          <w:bCs/>
        </w:rPr>
        <w:t xml:space="preserve"> ends in subframe </w:t>
      </w:r>
      <m:oMath>
        <m:r>
          <m:rPr>
            <m:sty m:val="bi"/>
          </m:rPr>
          <w:rPr>
            <w:rFonts w:ascii="Cambria Math" w:hAnsi="Cambria Math"/>
          </w:rPr>
          <m:t>n</m:t>
        </m:r>
      </m:oMath>
      <w:r>
        <w:rPr>
          <w:b/>
          <w:bCs/>
        </w:rPr>
        <w:t xml:space="preserve"> and the NPUSCH starts from </w:t>
      </w:r>
      <m:oMath>
        <m:r>
          <m:rPr>
            <m:sty m:val="bi"/>
          </m:rPr>
          <w:rPr>
            <w:rFonts w:ascii="Cambria Math" w:hAnsi="Cambria Math"/>
          </w:rPr>
          <m:t>n+k</m:t>
        </m:r>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Pr>
          <w:b/>
          <w:bCs/>
        </w:rPr>
        <w:t>)</w:t>
      </w:r>
    </w:p>
    <w:p w14:paraId="084FB37C" w14:textId="77777777" w:rsidR="004F412A" w:rsidRPr="00705E0D" w:rsidRDefault="004F412A" w:rsidP="004F412A">
      <w:pPr>
        <w:pStyle w:val="ListParagraph"/>
        <w:numPr>
          <w:ilvl w:val="0"/>
          <w:numId w:val="42"/>
        </w:numPr>
        <w:rPr>
          <w:b/>
          <w:bCs/>
        </w:rPr>
      </w:pPr>
      <w:r w:rsidRPr="00B86CC7">
        <w:rPr>
          <w:b/>
          <w:bCs/>
        </w:rPr>
        <w:t xml:space="preserve">the UE is not required to monitor NPDCCH in any subframe starting from subframe </w:t>
      </w:r>
      <w:r w:rsidRPr="00B86CC7">
        <w:rPr>
          <w:b/>
          <w:bCs/>
          <w:i/>
        </w:rPr>
        <w:t>n+1</w:t>
      </w:r>
      <w:r w:rsidRPr="00B86CC7">
        <w:rPr>
          <w:b/>
          <w:bCs/>
        </w:rPr>
        <w:t xml:space="preserve"> to subframe </w:t>
      </w:r>
      <w:r w:rsidRPr="00B86CC7">
        <w:rPr>
          <w:b/>
          <w:bCs/>
          <w:i/>
        </w:rPr>
        <w:t>n+k-1</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74A543E8" w14:textId="77777777" w:rsidR="004F412A" w:rsidRPr="006A5BD0" w:rsidRDefault="004F412A" w:rsidP="004F412A">
      <w:pPr>
        <w:rPr>
          <w:b/>
          <w:bCs/>
        </w:rPr>
      </w:pPr>
      <w:r w:rsidRPr="00295AEE">
        <w:rPr>
          <w:b/>
          <w:bCs/>
          <w:i/>
          <w:iCs/>
          <w:u w:val="single"/>
        </w:rPr>
        <w:t>Proposal</w:t>
      </w:r>
      <w:r>
        <w:rPr>
          <w:b/>
          <w:bCs/>
          <w:i/>
          <w:iCs/>
          <w:u w:val="single"/>
        </w:rPr>
        <w:t xml:space="preserve"> 3</w:t>
      </w:r>
      <w:r w:rsidRPr="006A5BD0">
        <w:rPr>
          <w:b/>
          <w:bCs/>
        </w:rPr>
        <w:t>: If a NB-IoT UE detects NPDCCH with DCI Format N</w:t>
      </w:r>
      <w:r w:rsidRPr="006A5BD0">
        <w:rPr>
          <w:rFonts w:hint="eastAsia"/>
          <w:b/>
          <w:bCs/>
        </w:rPr>
        <w:t>1</w:t>
      </w:r>
      <w:r w:rsidRPr="006A5BD0">
        <w:rPr>
          <w:b/>
          <w:bCs/>
        </w:rPr>
        <w:t xml:space="preserve"> ending in subframe </w:t>
      </w:r>
      <w:r w:rsidRPr="006A5BD0">
        <w:rPr>
          <w:b/>
          <w:bCs/>
          <w:i/>
        </w:rPr>
        <w:t>n</w:t>
      </w:r>
      <w:r w:rsidRPr="006A5BD0">
        <w:rPr>
          <w:b/>
          <w:bCs/>
        </w:rPr>
        <w:t xml:space="preserve">, and if the corresponding NPDSCH transmission starts from </w:t>
      </w:r>
      <w:r w:rsidRPr="006A5BD0">
        <w:rPr>
          <w:b/>
          <w:bCs/>
          <w:i/>
        </w:rPr>
        <w:t>n+k,</w:t>
      </w:r>
      <w:r w:rsidRPr="006A5BD0">
        <w:rPr>
          <w:b/>
          <w:bCs/>
        </w:rPr>
        <w:t xml:space="preserve"> and </w:t>
      </w:r>
    </w:p>
    <w:p w14:paraId="032B0D67" w14:textId="77777777" w:rsidR="004F412A" w:rsidRDefault="004F412A" w:rsidP="004F412A">
      <w:pPr>
        <w:pStyle w:val="B1"/>
        <w:numPr>
          <w:ilvl w:val="0"/>
          <w:numId w:val="42"/>
        </w:numPr>
        <w:rPr>
          <w:b/>
          <w:bCs/>
          <w:lang w:eastAsia="zh-CN"/>
        </w:rPr>
      </w:pPr>
      <w:r w:rsidRPr="006A5BD0">
        <w:rPr>
          <w:b/>
          <w:bCs/>
        </w:rPr>
        <w:t xml:space="preserve">for FDD, if the corresponding NPUSCH </w:t>
      </w:r>
      <w:r w:rsidRPr="006A5BD0">
        <w:rPr>
          <w:rFonts w:hint="eastAsia"/>
          <w:b/>
          <w:bCs/>
        </w:rPr>
        <w:t xml:space="preserve">format 2 </w:t>
      </w:r>
      <w:r w:rsidRPr="006A5BD0">
        <w:rPr>
          <w:b/>
          <w:bCs/>
        </w:rPr>
        <w:t xml:space="preserve">transmission starts from </w:t>
      </w:r>
      <w:r w:rsidRPr="006A5BD0">
        <w:rPr>
          <w:rFonts w:hint="eastAsia"/>
          <w:b/>
          <w:bCs/>
          <w:lang w:eastAsia="zh-CN"/>
        </w:rPr>
        <w:t xml:space="preserve">subframe </w:t>
      </w:r>
      <w:r w:rsidRPr="006A5BD0">
        <w:rPr>
          <w:b/>
          <w:bCs/>
          <w:i/>
        </w:rPr>
        <w:t>n+m</w:t>
      </w:r>
      <w:r w:rsidRPr="006A5BD0">
        <w:rPr>
          <w:b/>
          <w:bCs/>
          <w:i/>
          <w:color w:val="C00000"/>
        </w:rPr>
        <w:t>+</w:t>
      </w:r>
      <m:oMath>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sidRPr="006A5BD0">
        <w:rPr>
          <w:b/>
          <w:bCs/>
          <w:color w:val="C00000"/>
        </w:rPr>
        <w:t xml:space="preserve"> </w:t>
      </w:r>
      <w:r w:rsidRPr="006A5BD0">
        <w:rPr>
          <w:b/>
          <w:bCs/>
        </w:rPr>
        <w:t xml:space="preserve">the UE is not required to monitor NPDCCH in any subframe starting from subframe </w:t>
      </w:r>
      <w:r w:rsidRPr="006A5BD0">
        <w:rPr>
          <w:b/>
          <w:bCs/>
          <w:i/>
        </w:rPr>
        <w:t>n+ k</w:t>
      </w:r>
      <w:r w:rsidRPr="006A5BD0">
        <w:rPr>
          <w:b/>
          <w:bCs/>
        </w:rPr>
        <w:t xml:space="preserve"> to subframe </w:t>
      </w:r>
      <w:r w:rsidRPr="006A5BD0">
        <w:rPr>
          <w:b/>
          <w:bCs/>
          <w:i/>
        </w:rPr>
        <w:t>n+m-1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sidRPr="006A5BD0">
        <w:rPr>
          <w:b/>
          <w:bCs/>
        </w:rPr>
        <w:t>.</w:t>
      </w:r>
      <w:r w:rsidRPr="006A5BD0">
        <w:rPr>
          <w:b/>
          <w:bCs/>
          <w:lang w:eastAsia="zh-CN"/>
        </w:rPr>
        <w:t xml:space="preserve"> </w:t>
      </w:r>
    </w:p>
    <w:p w14:paraId="25ADCE1C" w14:textId="77777777" w:rsidR="004F412A" w:rsidRPr="00C60F19" w:rsidRDefault="004F412A" w:rsidP="004F412A">
      <w:pPr>
        <w:rPr>
          <w:b/>
          <w:bCs/>
        </w:rPr>
      </w:pPr>
      <w:r w:rsidRPr="006C12DE">
        <w:rPr>
          <w:b/>
          <w:bCs/>
          <w:i/>
          <w:iCs/>
          <w:u w:val="single"/>
        </w:rPr>
        <w:t>Proposal</w:t>
      </w:r>
      <w:r>
        <w:rPr>
          <w:b/>
          <w:bCs/>
          <w:i/>
          <w:iCs/>
          <w:u w:val="single"/>
        </w:rPr>
        <w:t xml:space="preserve"> 4</w:t>
      </w:r>
      <w:r w:rsidRPr="00C60F19">
        <w:rPr>
          <w:b/>
          <w:bCs/>
        </w:rPr>
        <w:t>: If a NB-IoT UE detects NPDCCH with DCI Format N</w:t>
      </w:r>
      <w:r w:rsidRPr="00C60F19">
        <w:rPr>
          <w:rFonts w:hint="eastAsia"/>
          <w:b/>
          <w:bCs/>
        </w:rPr>
        <w:t>1</w:t>
      </w:r>
      <w:r w:rsidRPr="00C60F19">
        <w:rPr>
          <w:b/>
          <w:bCs/>
        </w:rPr>
        <w:t xml:space="preserve"> </w:t>
      </w:r>
      <w:r w:rsidRPr="00C60F19">
        <w:rPr>
          <w:rFonts w:hint="eastAsia"/>
          <w:b/>
          <w:bCs/>
          <w:lang w:eastAsia="zh-CN"/>
        </w:rPr>
        <w:t xml:space="preserve">for </w:t>
      </w:r>
      <w:r w:rsidRPr="00C60F19">
        <w:rPr>
          <w:b/>
          <w:bCs/>
          <w:lang w:eastAsia="zh-CN"/>
        </w:rPr>
        <w:t>"</w:t>
      </w:r>
      <w:r w:rsidRPr="00C60F19">
        <w:rPr>
          <w:rFonts w:hint="eastAsia"/>
          <w:b/>
          <w:bCs/>
          <w:lang w:eastAsia="zh-CN"/>
        </w:rPr>
        <w:t>PDCCH order</w:t>
      </w:r>
      <w:r w:rsidRPr="00C60F19">
        <w:rPr>
          <w:b/>
          <w:bCs/>
          <w:lang w:eastAsia="zh-CN"/>
        </w:rPr>
        <w:t>"</w:t>
      </w:r>
      <w:r w:rsidRPr="00C60F19">
        <w:rPr>
          <w:rFonts w:hint="eastAsia"/>
          <w:b/>
          <w:bCs/>
          <w:lang w:eastAsia="zh-CN"/>
        </w:rPr>
        <w:t xml:space="preserve"> </w:t>
      </w:r>
      <w:r w:rsidRPr="00C60F19">
        <w:rPr>
          <w:b/>
          <w:bCs/>
        </w:rPr>
        <w:t xml:space="preserve">ending in subframe </w:t>
      </w:r>
      <w:r w:rsidRPr="00C60F19">
        <w:rPr>
          <w:b/>
          <w:bCs/>
          <w:i/>
        </w:rPr>
        <w:t>n</w:t>
      </w:r>
      <w:r w:rsidRPr="00C60F19">
        <w:rPr>
          <w:b/>
          <w:bCs/>
        </w:rPr>
        <w:t>, and</w:t>
      </w:r>
    </w:p>
    <w:p w14:paraId="17C8C9AA" w14:textId="77777777" w:rsidR="004F412A" w:rsidRPr="006C12DE" w:rsidRDefault="004F412A" w:rsidP="004F412A">
      <w:pPr>
        <w:pStyle w:val="B1"/>
        <w:numPr>
          <w:ilvl w:val="0"/>
          <w:numId w:val="42"/>
        </w:numPr>
        <w:rPr>
          <w:b/>
          <w:bCs/>
          <w:lang w:eastAsia="zh-CN"/>
        </w:rPr>
      </w:pPr>
      <w:r w:rsidRPr="00C60F19">
        <w:rPr>
          <w:b/>
          <w:bCs/>
        </w:rPr>
        <w:t>for FDD, if the corresponding NP</w:t>
      </w:r>
      <w:r w:rsidRPr="00C60F19">
        <w:rPr>
          <w:rFonts w:hint="eastAsia"/>
          <w:b/>
          <w:bCs/>
          <w:lang w:eastAsia="zh-CN"/>
        </w:rPr>
        <w:t>RACH</w:t>
      </w:r>
      <w:r w:rsidRPr="00C60F19">
        <w:rPr>
          <w:rFonts w:hint="eastAsia"/>
          <w:b/>
          <w:bCs/>
        </w:rPr>
        <w:t xml:space="preserve"> </w:t>
      </w:r>
      <w:r w:rsidRPr="00C60F19">
        <w:rPr>
          <w:b/>
          <w:bCs/>
        </w:rPr>
        <w:t xml:space="preserve">transmission starts from </w:t>
      </w:r>
      <w:r w:rsidRPr="00C60F19">
        <w:rPr>
          <w:rFonts w:hint="eastAsia"/>
          <w:b/>
          <w:bCs/>
          <w:lang w:eastAsia="zh-CN"/>
        </w:rPr>
        <w:t xml:space="preserve">subframe </w:t>
      </w:r>
      <w:r w:rsidRPr="00C60F19">
        <w:rPr>
          <w:b/>
          <w:bCs/>
          <w:i/>
        </w:rPr>
        <w:t>n+k</w:t>
      </w:r>
      <m:oMath>
        <m:r>
          <m:rPr>
            <m:sty m:val="bi"/>
          </m:rPr>
          <w:rPr>
            <w:rFonts w:ascii="Cambria Math" w:hAnsi="Cambria Math"/>
            <w:color w:val="C00000"/>
          </w:rPr>
          <m:t>+</m:t>
        </m:r>
        <m:sSub>
          <m:sSubPr>
            <m:ctrlPr>
              <w:rPr>
                <w:rFonts w:ascii="Cambria Math" w:hAnsi="Cambria Math"/>
                <w:b/>
                <w:bCs/>
                <w:i/>
                <w:color w:val="C00000"/>
              </w:rPr>
            </m:ctrlPr>
          </m:sSubPr>
          <m:e>
            <m:r>
              <m:rPr>
                <m:sty m:val="bi"/>
              </m:rPr>
              <w:rPr>
                <w:rFonts w:ascii="Cambria Math" w:hAnsi="Cambria Math"/>
                <w:color w:val="C00000"/>
              </w:rPr>
              <m:t>K</m:t>
            </m:r>
          </m:e>
          <m:sub>
            <m:r>
              <m:rPr>
                <m:sty m:val="bi"/>
              </m:rPr>
              <w:rPr>
                <w:rFonts w:ascii="Cambria Math" w:hAnsi="Cambria Math"/>
                <w:color w:val="C00000"/>
              </w:rPr>
              <m:t>offset</m:t>
            </m:r>
          </m:sub>
        </m:sSub>
      </m:oMath>
      <w:r w:rsidRPr="00C60F19">
        <w:rPr>
          <w:b/>
          <w:bCs/>
        </w:rPr>
        <w:t xml:space="preserve">, the UE is not required to monitor NPDCCH in any subframe starting from subframe </w:t>
      </w:r>
      <w:r w:rsidRPr="00C60F19">
        <w:rPr>
          <w:b/>
          <w:bCs/>
          <w:i/>
        </w:rPr>
        <w:t xml:space="preserve">n+1 </w:t>
      </w:r>
      <w:r w:rsidRPr="00C60F19">
        <w:rPr>
          <w:b/>
          <w:bCs/>
        </w:rPr>
        <w:t xml:space="preserve">to subframe </w:t>
      </w:r>
      <w:r w:rsidRPr="00C60F19">
        <w:rPr>
          <w:b/>
          <w:bCs/>
          <w:i/>
        </w:rPr>
        <w:t>n+k-1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sidRPr="00C60F19">
        <w:rPr>
          <w:b/>
          <w:bCs/>
        </w:rPr>
        <w:t>.</w:t>
      </w:r>
      <w:r w:rsidRPr="00C60F19">
        <w:rPr>
          <w:b/>
          <w:bCs/>
          <w:lang w:eastAsia="zh-CN"/>
        </w:rPr>
        <w:t xml:space="preserve"> </w:t>
      </w:r>
    </w:p>
    <w:p w14:paraId="0CED3FCD" w14:textId="77777777" w:rsidR="004F412A" w:rsidRPr="00B037AB" w:rsidRDefault="004F412A" w:rsidP="004F412A">
      <w:pPr>
        <w:rPr>
          <w:b/>
          <w:bCs/>
          <w:iCs/>
          <w:sz w:val="22"/>
          <w:szCs w:val="22"/>
        </w:rPr>
      </w:pPr>
      <w:r w:rsidRPr="00B037AB">
        <w:rPr>
          <w:b/>
          <w:bCs/>
          <w:i/>
          <w:iCs/>
          <w:u w:val="single"/>
          <w:lang w:val="en-US"/>
        </w:rPr>
        <w:lastRenderedPageBreak/>
        <w:t>Proposal</w:t>
      </w:r>
      <w:r>
        <w:rPr>
          <w:b/>
          <w:bCs/>
          <w:i/>
          <w:iCs/>
          <w:u w:val="single"/>
          <w:lang w:val="en-US"/>
        </w:rPr>
        <w:t xml:space="preserve"> 5</w:t>
      </w:r>
      <w:r w:rsidRPr="00B037AB">
        <w:rPr>
          <w:b/>
          <w:bCs/>
          <w:lang w:val="en-US"/>
        </w:rPr>
        <w:t xml:space="preserve">: </w:t>
      </w:r>
      <w:r>
        <w:rPr>
          <w:b/>
          <w:bCs/>
        </w:rPr>
        <w:t>After</w:t>
      </w:r>
      <w:r w:rsidRPr="00B037AB">
        <w:rPr>
          <w:b/>
          <w:bCs/>
        </w:rPr>
        <w:t xml:space="preserve"> a NPUSCH transmission, the UE is not required to monitor NPDCCH in any subframe starting from subframe </w:t>
      </w:r>
      <w:r w:rsidRPr="00B037AB">
        <w:rPr>
          <w:b/>
          <w:bCs/>
          <w:i/>
          <w:iCs/>
        </w:rPr>
        <w:t>n+1</w:t>
      </w:r>
      <m:oMath>
        <m:r>
          <m:rPr>
            <m:sty m:val="bi"/>
          </m:rPr>
          <w:rPr>
            <w:rFonts w:ascii="Cambria Math" w:hAnsi="Cambria Math"/>
            <w:color w:val="C00000"/>
          </w:rPr>
          <m:t>-</m:t>
        </m:r>
        <m:sSubSup>
          <m:sSubSupPr>
            <m:ctrlPr>
              <w:rPr>
                <w:rFonts w:ascii="Cambria Math" w:eastAsiaTheme="minorHAnsi" w:hAnsi="Cambria Math" w:cs="Calibri"/>
                <w:b/>
                <w:bCs/>
                <w:i/>
                <w:iCs/>
                <w:color w:val="C00000"/>
                <w:sz w:val="22"/>
                <w:szCs w:val="22"/>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sidRPr="00B037AB">
        <w:rPr>
          <w:b/>
          <w:bCs/>
          <w:i/>
          <w:iCs/>
        </w:rPr>
        <w:t xml:space="preserve"> </w:t>
      </w:r>
      <w:r w:rsidRPr="00B037AB">
        <w:rPr>
          <w:b/>
          <w:bCs/>
        </w:rPr>
        <w:t xml:space="preserve">to subframe </w:t>
      </w:r>
      <w:r w:rsidRPr="00B037AB">
        <w:rPr>
          <w:b/>
          <w:bCs/>
          <w:i/>
          <w:iCs/>
        </w:rPr>
        <w:t>n+3</w:t>
      </w:r>
      <w:r w:rsidRPr="00B037AB">
        <w:rPr>
          <w:b/>
          <w:bCs/>
        </w:rPr>
        <w:t xml:space="preserve"> </w:t>
      </w:r>
      <m:oMath>
        <m:r>
          <m:rPr>
            <m:sty m:val="bi"/>
          </m:rPr>
          <w:rPr>
            <w:rFonts w:ascii="Cambria Math" w:hAnsi="Cambria Math"/>
            <w:color w:val="C00000"/>
          </w:rPr>
          <m:t>-</m:t>
        </m:r>
        <m:sSubSup>
          <m:sSubSupPr>
            <m:ctrlPr>
              <w:rPr>
                <w:rFonts w:ascii="Cambria Math" w:eastAsiaTheme="minorHAnsi" w:hAnsi="Cambria Math" w:cs="Calibri"/>
                <w:b/>
                <w:bCs/>
                <w:i/>
                <w:iCs/>
                <w:color w:val="C00000"/>
                <w:sz w:val="22"/>
                <w:szCs w:val="22"/>
              </w:rPr>
            </m:ctrlPr>
          </m:sSubSupPr>
          <m:e>
            <m:r>
              <m:rPr>
                <m:sty m:val="bi"/>
              </m:rPr>
              <w:rPr>
                <w:rFonts w:ascii="Cambria Math" w:hAnsi="Cambria Math"/>
                <w:color w:val="C00000"/>
              </w:rPr>
              <m:t>n</m:t>
            </m:r>
          </m:e>
          <m:sub>
            <m:r>
              <m:rPr>
                <m:sty m:val="bi"/>
              </m:rPr>
              <w:rPr>
                <w:rFonts w:ascii="Cambria Math" w:hAnsi="Cambria Math"/>
                <w:color w:val="C00000"/>
              </w:rPr>
              <m:t>TA</m:t>
            </m:r>
          </m:sub>
          <m:sup>
            <m:r>
              <m:rPr>
                <m:sty m:val="bi"/>
              </m:rPr>
              <w:rPr>
                <w:rFonts w:ascii="Cambria Math" w:hAnsi="Cambria Math"/>
                <w:color w:val="C00000"/>
              </w:rPr>
              <m:t>UE</m:t>
            </m:r>
          </m:sup>
        </m:sSubSup>
      </m:oMath>
      <w:r>
        <w:rPr>
          <w:b/>
          <w:bCs/>
          <w:iCs/>
          <w:sz w:val="22"/>
          <w:szCs w:val="22"/>
        </w:rPr>
        <w:t xml:space="preserve">, </w:t>
      </w:r>
      <w:r w:rsidRPr="003004C2">
        <w:rPr>
          <w:b/>
          <w:bCs/>
          <w:iCs/>
        </w:rPr>
        <w:t xml:space="preserve">where the NPUSCH transmission ends in subframe </w:t>
      </w:r>
      <m:oMath>
        <m:r>
          <m:rPr>
            <m:sty m:val="bi"/>
          </m:rPr>
          <w:rPr>
            <w:rFonts w:ascii="Cambria Math" w:hAnsi="Cambria Math"/>
          </w:rPr>
          <m:t>n</m:t>
        </m:r>
      </m:oMath>
    </w:p>
    <w:p w14:paraId="04B54211" w14:textId="77777777" w:rsidR="004F412A" w:rsidRPr="00B037AB" w:rsidRDefault="004F412A" w:rsidP="004F412A">
      <w:pPr>
        <w:spacing w:line="256" w:lineRule="auto"/>
        <w:rPr>
          <w:b/>
          <w:bCs/>
          <w:iCs/>
        </w:rPr>
      </w:pPr>
      <w:r w:rsidRPr="00B037AB">
        <w:rPr>
          <w:b/>
          <w:bCs/>
          <w:i/>
          <w:u w:val="single"/>
        </w:rPr>
        <w:t>Proposal</w:t>
      </w:r>
      <w:r>
        <w:rPr>
          <w:b/>
          <w:bCs/>
          <w:i/>
          <w:u w:val="single"/>
        </w:rPr>
        <w:t xml:space="preserve"> 6</w:t>
      </w:r>
      <w:r w:rsidRPr="00B037AB">
        <w:rPr>
          <w:b/>
          <w:bCs/>
          <w:iCs/>
        </w:rPr>
        <w:t>: For Type B half-duplex guard periods, a UE is not expected to receive a downlink subframe:</w:t>
      </w:r>
    </w:p>
    <w:p w14:paraId="38B42832" w14:textId="77777777" w:rsidR="004F412A" w:rsidRPr="00B037AB" w:rsidRDefault="004F412A" w:rsidP="004F412A">
      <w:pPr>
        <w:pStyle w:val="ListParagraph"/>
        <w:numPr>
          <w:ilvl w:val="0"/>
          <w:numId w:val="41"/>
        </w:numPr>
        <w:spacing w:line="256" w:lineRule="auto"/>
        <w:rPr>
          <w:rFonts w:cstheme="minorBidi"/>
          <w:b/>
          <w:bCs/>
          <w:color w:val="000000" w:themeColor="text1"/>
          <w:kern w:val="24"/>
        </w:rPr>
      </w:pPr>
      <w:r w:rsidRPr="00B037AB">
        <w:rPr>
          <w:rFonts w:cstheme="minorBidi"/>
          <w:b/>
          <w:bCs/>
          <w:color w:val="000000" w:themeColor="text1"/>
          <w:kern w:val="24"/>
        </w:rPr>
        <w:t xml:space="preserve">preceding an uplink subframe by </w:t>
      </w:r>
      <m:oMath>
        <m:d>
          <m:dPr>
            <m:ctrlPr>
              <w:rPr>
                <w:rFonts w:ascii="Cambria Math" w:hAnsi="Cambria Math" w:cstheme="minorBidi"/>
                <w:b/>
                <w:bCs/>
                <w:i/>
                <w:iCs/>
                <w:color w:val="000000" w:themeColor="text1"/>
                <w:kern w:val="24"/>
                <w:lang w:val="en-US"/>
              </w:rPr>
            </m:ctrlPr>
          </m:dPr>
          <m:e>
            <m:sSubSup>
              <m:sSubSupPr>
                <m:ctrlPr>
                  <w:rPr>
                    <w:rFonts w:ascii="Cambria Math" w:hAnsi="Cambria Math" w:cstheme="minorBidi"/>
                    <w:b/>
                    <w:bCs/>
                    <w:i/>
                    <w:iCs/>
                    <w:color w:val="C00000"/>
                    <w:kern w:val="24"/>
                    <w:lang w:val="en-US"/>
                  </w:rPr>
                </m:ctrlPr>
              </m:sSubSupPr>
              <m:e>
                <m:r>
                  <m:rPr>
                    <m:sty m:val="bi"/>
                  </m:rPr>
                  <w:rPr>
                    <w:rFonts w:ascii="Cambria Math" w:hAnsi="Cambria Math" w:cstheme="minorBidi"/>
                    <w:color w:val="C00000"/>
                    <w:kern w:val="24"/>
                    <w:lang w:val="en-US"/>
                  </w:rPr>
                  <m:t>1+n</m:t>
                </m:r>
              </m:e>
              <m:sub>
                <m:r>
                  <m:rPr>
                    <m:sty m:val="bi"/>
                  </m:rPr>
                  <w:rPr>
                    <w:rFonts w:ascii="Cambria Math" w:hAnsi="Cambria Math" w:cstheme="minorBidi"/>
                    <w:color w:val="C00000"/>
                    <w:kern w:val="24"/>
                    <w:lang w:val="en-US"/>
                  </w:rPr>
                  <m:t>TA</m:t>
                </m:r>
              </m:sub>
              <m:sup>
                <m:r>
                  <m:rPr>
                    <m:sty m:val="bi"/>
                  </m:rPr>
                  <w:rPr>
                    <w:rFonts w:ascii="Cambria Math" w:hAnsi="Cambria Math" w:cstheme="minorBidi"/>
                    <w:color w:val="C00000"/>
                    <w:kern w:val="24"/>
                    <w:lang w:val="en-US"/>
                  </w:rPr>
                  <m:t>UE</m:t>
                </m:r>
              </m:sup>
            </m:sSubSup>
          </m:e>
        </m:d>
      </m:oMath>
      <w:r w:rsidRPr="00B037AB">
        <w:rPr>
          <w:rFonts w:cstheme="minorBidi"/>
          <w:b/>
          <w:bCs/>
          <w:color w:val="000000" w:themeColor="text1"/>
          <w:kern w:val="24"/>
        </w:rPr>
        <w:t xml:space="preserve"> subframes from the same UE, and</w:t>
      </w:r>
    </w:p>
    <w:p w14:paraId="75709CDD" w14:textId="73E6592D" w:rsidR="004F412A" w:rsidRPr="004F412A" w:rsidRDefault="004F412A" w:rsidP="006C1D96">
      <w:pPr>
        <w:pStyle w:val="ListParagraph"/>
        <w:numPr>
          <w:ilvl w:val="0"/>
          <w:numId w:val="41"/>
        </w:numPr>
        <w:spacing w:line="256" w:lineRule="auto"/>
        <w:rPr>
          <w:rFonts w:cstheme="minorBidi"/>
          <w:b/>
          <w:bCs/>
          <w:color w:val="000000" w:themeColor="text1"/>
          <w:kern w:val="24"/>
        </w:rPr>
      </w:pPr>
      <w:r w:rsidRPr="00B037AB">
        <w:rPr>
          <w:rFonts w:cstheme="minorBidi"/>
          <w:b/>
          <w:bCs/>
          <w:color w:val="000000" w:themeColor="text1"/>
          <w:kern w:val="24"/>
        </w:rPr>
        <w:t xml:space="preserve">following an uplink subframe by </w:t>
      </w:r>
      <m:oMath>
        <m:d>
          <m:dPr>
            <m:ctrlPr>
              <w:rPr>
                <w:rFonts w:ascii="Cambria Math" w:hAnsi="Cambria Math" w:cstheme="minorBidi"/>
                <w:b/>
                <w:bCs/>
                <w:i/>
                <w:iCs/>
                <w:color w:val="000000" w:themeColor="text1"/>
                <w:kern w:val="24"/>
                <w:lang w:val="en-US"/>
              </w:rPr>
            </m:ctrlPr>
          </m:dPr>
          <m:e>
            <m:sSubSup>
              <m:sSubSupPr>
                <m:ctrlPr>
                  <w:rPr>
                    <w:rFonts w:ascii="Cambria Math" w:hAnsi="Cambria Math" w:cstheme="minorBidi"/>
                    <w:b/>
                    <w:bCs/>
                    <w:i/>
                    <w:iCs/>
                    <w:color w:val="C00000"/>
                    <w:kern w:val="24"/>
                    <w:lang w:val="en-US"/>
                  </w:rPr>
                </m:ctrlPr>
              </m:sSubSupPr>
              <m:e>
                <m:r>
                  <m:rPr>
                    <m:sty m:val="bi"/>
                  </m:rPr>
                  <w:rPr>
                    <w:rFonts w:ascii="Cambria Math" w:hAnsi="Cambria Math" w:cstheme="minorBidi"/>
                    <w:color w:val="C00000"/>
                    <w:kern w:val="24"/>
                    <w:lang w:val="en-US"/>
                  </w:rPr>
                  <m:t>1-n</m:t>
                </m:r>
              </m:e>
              <m:sub>
                <m:r>
                  <m:rPr>
                    <m:sty m:val="bi"/>
                  </m:rPr>
                  <w:rPr>
                    <w:rFonts w:ascii="Cambria Math" w:hAnsi="Cambria Math" w:cstheme="minorBidi"/>
                    <w:color w:val="C00000"/>
                    <w:kern w:val="24"/>
                    <w:lang w:val="en-US"/>
                  </w:rPr>
                  <m:t>TA</m:t>
                </m:r>
              </m:sub>
              <m:sup>
                <m:r>
                  <m:rPr>
                    <m:sty m:val="bi"/>
                  </m:rPr>
                  <w:rPr>
                    <w:rFonts w:ascii="Cambria Math" w:hAnsi="Cambria Math" w:cstheme="minorBidi"/>
                    <w:color w:val="C00000"/>
                    <w:kern w:val="24"/>
                    <w:lang w:val="en-US"/>
                  </w:rPr>
                  <m:t>UE</m:t>
                </m:r>
              </m:sup>
            </m:sSubSup>
          </m:e>
        </m:d>
      </m:oMath>
      <w:r w:rsidRPr="00B037AB">
        <w:rPr>
          <w:rFonts w:cstheme="minorBidi"/>
          <w:b/>
          <w:bCs/>
          <w:color w:val="000000" w:themeColor="text1"/>
          <w:kern w:val="24"/>
        </w:rPr>
        <w:t xml:space="preserve"> subframes from the same UE.</w:t>
      </w:r>
    </w:p>
    <w:p w14:paraId="1D05C251" w14:textId="1D3C1A91" w:rsidR="0037788D" w:rsidRPr="00FB4122" w:rsidRDefault="0037788D" w:rsidP="0037788D">
      <w:pPr>
        <w:rPr>
          <w:b/>
          <w:bCs/>
          <w:color w:val="2F5496" w:themeColor="accent1" w:themeShade="BF"/>
          <w:lang w:val="en-US"/>
        </w:rPr>
      </w:pPr>
      <w:r w:rsidRPr="00FB4122">
        <w:rPr>
          <w:b/>
          <w:bCs/>
          <w:i/>
          <w:iCs/>
          <w:color w:val="2F5496" w:themeColor="accent1" w:themeShade="BF"/>
          <w:u w:val="single"/>
          <w:lang w:val="en-US"/>
        </w:rPr>
        <w:t xml:space="preserve">Proposal </w:t>
      </w:r>
      <w:r w:rsidR="004F412A">
        <w:rPr>
          <w:b/>
          <w:bCs/>
          <w:i/>
          <w:iCs/>
          <w:color w:val="2F5496" w:themeColor="accent1" w:themeShade="BF"/>
          <w:u w:val="single"/>
          <w:lang w:val="en-US"/>
        </w:rPr>
        <w:t>7</w:t>
      </w:r>
      <w:r w:rsidRPr="00FB4122">
        <w:rPr>
          <w:b/>
          <w:bCs/>
          <w:color w:val="2F5496" w:themeColor="accent1" w:themeShade="BF"/>
          <w:lang w:val="en-US"/>
        </w:rPr>
        <w:t xml:space="preserve">: A UE reports the UE-specific TA to the network when the previously reported value differs from a current value by a pre-determined threshold. </w:t>
      </w:r>
    </w:p>
    <w:p w14:paraId="00FC66B6" w14:textId="4C8A46FF" w:rsidR="0037788D" w:rsidRPr="00FB4122" w:rsidRDefault="0037788D" w:rsidP="0037788D">
      <w:pPr>
        <w:rPr>
          <w:b/>
          <w:bCs/>
          <w:color w:val="2F5496" w:themeColor="accent1" w:themeShade="BF"/>
          <w:lang w:val="en-US"/>
        </w:rPr>
      </w:pPr>
      <w:r w:rsidRPr="00FB4122">
        <w:rPr>
          <w:b/>
          <w:bCs/>
          <w:i/>
          <w:iCs/>
          <w:color w:val="2F5496" w:themeColor="accent1" w:themeShade="BF"/>
          <w:u w:val="single"/>
          <w:lang w:val="en-US"/>
        </w:rPr>
        <w:t xml:space="preserve">Proposal </w:t>
      </w:r>
      <w:r w:rsidR="004F412A">
        <w:rPr>
          <w:b/>
          <w:bCs/>
          <w:i/>
          <w:iCs/>
          <w:color w:val="2F5496" w:themeColor="accent1" w:themeShade="BF"/>
          <w:u w:val="single"/>
          <w:lang w:val="en-US"/>
        </w:rPr>
        <w:t>8</w:t>
      </w:r>
      <w:r w:rsidRPr="00FB4122">
        <w:rPr>
          <w:b/>
          <w:bCs/>
          <w:color w:val="2F5496" w:themeColor="accent1" w:themeShade="BF"/>
          <w:lang w:val="en-US"/>
        </w:rPr>
        <w:t>: The UE-specific TA is reported in an uplink semi-persistent scheduling (UL-SPS) message, such as the one used for reporting buffer status reports (BSRs) in NB-IoT.</w:t>
      </w:r>
    </w:p>
    <w:p w14:paraId="62880045" w14:textId="7722F8D2" w:rsidR="003E3336" w:rsidRPr="00233298" w:rsidRDefault="00233298" w:rsidP="0037788D">
      <w:pPr>
        <w:rPr>
          <w:b/>
          <w:bCs/>
          <w:color w:val="2F5496" w:themeColor="accent1" w:themeShade="BF"/>
          <w:lang w:val="en-US"/>
        </w:rPr>
      </w:pPr>
      <w:r w:rsidRPr="00DC77DB">
        <w:rPr>
          <w:b/>
          <w:bCs/>
          <w:i/>
          <w:iCs/>
          <w:color w:val="2F5496" w:themeColor="accent1" w:themeShade="BF"/>
          <w:u w:val="single"/>
          <w:lang w:val="en-US"/>
        </w:rPr>
        <w:t xml:space="preserve">Proposal </w:t>
      </w:r>
      <w:r w:rsidR="004F412A">
        <w:rPr>
          <w:b/>
          <w:bCs/>
          <w:i/>
          <w:iCs/>
          <w:color w:val="2F5496" w:themeColor="accent1" w:themeShade="BF"/>
          <w:u w:val="single"/>
          <w:lang w:val="en-US"/>
        </w:rPr>
        <w:t>9</w:t>
      </w:r>
      <w:r>
        <w:rPr>
          <w:b/>
          <w:bCs/>
          <w:color w:val="2F5496" w:themeColor="accent1" w:themeShade="BF"/>
          <w:lang w:val="en-US"/>
        </w:rPr>
        <w:t>: The UE-specific TA report is self-contained, and not differential w.r.t a previous TA report or value.</w:t>
      </w:r>
    </w:p>
    <w:sectPr w:rsidR="003E3336" w:rsidRPr="00233298" w:rsidSect="00717C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E3F02" w14:textId="77777777" w:rsidR="0018067C" w:rsidRDefault="0018067C">
      <w:pPr>
        <w:spacing w:after="0"/>
      </w:pPr>
      <w:r>
        <w:separator/>
      </w:r>
    </w:p>
  </w:endnote>
  <w:endnote w:type="continuationSeparator" w:id="0">
    <w:p w14:paraId="74CB8CE4" w14:textId="77777777" w:rsidR="0018067C" w:rsidRDefault="0018067C">
      <w:pPr>
        <w:spacing w:after="0"/>
      </w:pPr>
      <w:r>
        <w:continuationSeparator/>
      </w:r>
    </w:p>
  </w:endnote>
  <w:endnote w:type="continuationNotice" w:id="1">
    <w:p w14:paraId="68FEF83E" w14:textId="77777777" w:rsidR="0018067C" w:rsidRDefault="00180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A56F9" w14:textId="77777777" w:rsidR="0018067C" w:rsidRDefault="0018067C">
      <w:pPr>
        <w:spacing w:after="0"/>
      </w:pPr>
      <w:r>
        <w:separator/>
      </w:r>
    </w:p>
  </w:footnote>
  <w:footnote w:type="continuationSeparator" w:id="0">
    <w:p w14:paraId="0044B702" w14:textId="77777777" w:rsidR="0018067C" w:rsidRDefault="0018067C">
      <w:pPr>
        <w:spacing w:after="0"/>
      </w:pPr>
      <w:r>
        <w:continuationSeparator/>
      </w:r>
    </w:p>
  </w:footnote>
  <w:footnote w:type="continuationNotice" w:id="1">
    <w:p w14:paraId="55527D48" w14:textId="77777777" w:rsidR="0018067C" w:rsidRDefault="00180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86281D2C"/>
    <w:lvl w:ilvl="0">
      <w:start w:val="1"/>
      <w:numFmt w:val="decimal"/>
      <w:lvlText w:val="%1"/>
      <w:lvlJc w:val="left"/>
      <w:pPr>
        <w:tabs>
          <w:tab w:val="num" w:pos="1140"/>
        </w:tabs>
        <w:ind w:left="1140" w:hanging="1140"/>
      </w:pPr>
      <w:rPr>
        <w:rFonts w:hint="default"/>
        <w:b w:val="0"/>
        <w:bCs w:val="0"/>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A06AC"/>
    <w:multiLevelType w:val="hybridMultilevel"/>
    <w:tmpl w:val="735058B2"/>
    <w:lvl w:ilvl="0" w:tplc="FC3080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6552D"/>
    <w:multiLevelType w:val="hybridMultilevel"/>
    <w:tmpl w:val="4362991E"/>
    <w:lvl w:ilvl="0" w:tplc="9B7699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C505A8C"/>
    <w:multiLevelType w:val="hybridMultilevel"/>
    <w:tmpl w:val="05CE023E"/>
    <w:lvl w:ilvl="0" w:tplc="F8AEC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20D26"/>
    <w:multiLevelType w:val="hybridMultilevel"/>
    <w:tmpl w:val="168C42D4"/>
    <w:lvl w:ilvl="0" w:tplc="353478D8">
      <w:start w:val="1"/>
      <w:numFmt w:val="bullet"/>
      <w:lvlText w:val="•"/>
      <w:lvlJc w:val="left"/>
      <w:pPr>
        <w:tabs>
          <w:tab w:val="num" w:pos="720"/>
        </w:tabs>
        <w:ind w:left="720" w:hanging="360"/>
      </w:pPr>
      <w:rPr>
        <w:rFonts w:ascii="Arial" w:hAnsi="Arial" w:hint="default"/>
      </w:rPr>
    </w:lvl>
    <w:lvl w:ilvl="1" w:tplc="9910A0D8" w:tentative="1">
      <w:start w:val="1"/>
      <w:numFmt w:val="bullet"/>
      <w:lvlText w:val="•"/>
      <w:lvlJc w:val="left"/>
      <w:pPr>
        <w:tabs>
          <w:tab w:val="num" w:pos="1440"/>
        </w:tabs>
        <w:ind w:left="1440" w:hanging="360"/>
      </w:pPr>
      <w:rPr>
        <w:rFonts w:ascii="Arial" w:hAnsi="Arial" w:hint="default"/>
      </w:rPr>
    </w:lvl>
    <w:lvl w:ilvl="2" w:tplc="1A1020B2" w:tentative="1">
      <w:start w:val="1"/>
      <w:numFmt w:val="bullet"/>
      <w:lvlText w:val="•"/>
      <w:lvlJc w:val="left"/>
      <w:pPr>
        <w:tabs>
          <w:tab w:val="num" w:pos="2160"/>
        </w:tabs>
        <w:ind w:left="2160" w:hanging="360"/>
      </w:pPr>
      <w:rPr>
        <w:rFonts w:ascii="Arial" w:hAnsi="Arial" w:hint="default"/>
      </w:rPr>
    </w:lvl>
    <w:lvl w:ilvl="3" w:tplc="B568E778" w:tentative="1">
      <w:start w:val="1"/>
      <w:numFmt w:val="bullet"/>
      <w:lvlText w:val="•"/>
      <w:lvlJc w:val="left"/>
      <w:pPr>
        <w:tabs>
          <w:tab w:val="num" w:pos="2880"/>
        </w:tabs>
        <w:ind w:left="2880" w:hanging="360"/>
      </w:pPr>
      <w:rPr>
        <w:rFonts w:ascii="Arial" w:hAnsi="Arial" w:hint="default"/>
      </w:rPr>
    </w:lvl>
    <w:lvl w:ilvl="4" w:tplc="804C7644" w:tentative="1">
      <w:start w:val="1"/>
      <w:numFmt w:val="bullet"/>
      <w:lvlText w:val="•"/>
      <w:lvlJc w:val="left"/>
      <w:pPr>
        <w:tabs>
          <w:tab w:val="num" w:pos="3600"/>
        </w:tabs>
        <w:ind w:left="3600" w:hanging="360"/>
      </w:pPr>
      <w:rPr>
        <w:rFonts w:ascii="Arial" w:hAnsi="Arial" w:hint="default"/>
      </w:rPr>
    </w:lvl>
    <w:lvl w:ilvl="5" w:tplc="A0347C4C" w:tentative="1">
      <w:start w:val="1"/>
      <w:numFmt w:val="bullet"/>
      <w:lvlText w:val="•"/>
      <w:lvlJc w:val="left"/>
      <w:pPr>
        <w:tabs>
          <w:tab w:val="num" w:pos="4320"/>
        </w:tabs>
        <w:ind w:left="4320" w:hanging="360"/>
      </w:pPr>
      <w:rPr>
        <w:rFonts w:ascii="Arial" w:hAnsi="Arial" w:hint="default"/>
      </w:rPr>
    </w:lvl>
    <w:lvl w:ilvl="6" w:tplc="06BA8E52" w:tentative="1">
      <w:start w:val="1"/>
      <w:numFmt w:val="bullet"/>
      <w:lvlText w:val="•"/>
      <w:lvlJc w:val="left"/>
      <w:pPr>
        <w:tabs>
          <w:tab w:val="num" w:pos="5040"/>
        </w:tabs>
        <w:ind w:left="5040" w:hanging="360"/>
      </w:pPr>
      <w:rPr>
        <w:rFonts w:ascii="Arial" w:hAnsi="Arial" w:hint="default"/>
      </w:rPr>
    </w:lvl>
    <w:lvl w:ilvl="7" w:tplc="8130A954" w:tentative="1">
      <w:start w:val="1"/>
      <w:numFmt w:val="bullet"/>
      <w:lvlText w:val="•"/>
      <w:lvlJc w:val="left"/>
      <w:pPr>
        <w:tabs>
          <w:tab w:val="num" w:pos="5760"/>
        </w:tabs>
        <w:ind w:left="5760" w:hanging="360"/>
      </w:pPr>
      <w:rPr>
        <w:rFonts w:ascii="Arial" w:hAnsi="Arial" w:hint="default"/>
      </w:rPr>
    </w:lvl>
    <w:lvl w:ilvl="8" w:tplc="89E6D7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75015B"/>
    <w:multiLevelType w:val="hybridMultilevel"/>
    <w:tmpl w:val="50728B40"/>
    <w:lvl w:ilvl="0" w:tplc="A92433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2FEA"/>
    <w:multiLevelType w:val="hybridMultilevel"/>
    <w:tmpl w:val="9DC04ABA"/>
    <w:lvl w:ilvl="0" w:tplc="50DC8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40B09"/>
    <w:multiLevelType w:val="hybridMultilevel"/>
    <w:tmpl w:val="A3882214"/>
    <w:lvl w:ilvl="0" w:tplc="D4A0B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953F88"/>
    <w:multiLevelType w:val="hybridMultilevel"/>
    <w:tmpl w:val="18561F0A"/>
    <w:lvl w:ilvl="0" w:tplc="4544BA60">
      <w:start w:val="1"/>
      <w:numFmt w:val="bullet"/>
      <w:lvlText w:val="•"/>
      <w:lvlJc w:val="left"/>
      <w:pPr>
        <w:tabs>
          <w:tab w:val="num" w:pos="720"/>
        </w:tabs>
        <w:ind w:left="720" w:hanging="360"/>
      </w:pPr>
      <w:rPr>
        <w:rFonts w:ascii="Arial" w:hAnsi="Arial" w:hint="default"/>
      </w:rPr>
    </w:lvl>
    <w:lvl w:ilvl="1" w:tplc="6F44E968" w:tentative="1">
      <w:start w:val="1"/>
      <w:numFmt w:val="bullet"/>
      <w:lvlText w:val="•"/>
      <w:lvlJc w:val="left"/>
      <w:pPr>
        <w:tabs>
          <w:tab w:val="num" w:pos="1440"/>
        </w:tabs>
        <w:ind w:left="1440" w:hanging="360"/>
      </w:pPr>
      <w:rPr>
        <w:rFonts w:ascii="Arial" w:hAnsi="Arial" w:hint="default"/>
      </w:rPr>
    </w:lvl>
    <w:lvl w:ilvl="2" w:tplc="BCFA3EDA" w:tentative="1">
      <w:start w:val="1"/>
      <w:numFmt w:val="bullet"/>
      <w:lvlText w:val="•"/>
      <w:lvlJc w:val="left"/>
      <w:pPr>
        <w:tabs>
          <w:tab w:val="num" w:pos="2160"/>
        </w:tabs>
        <w:ind w:left="2160" w:hanging="360"/>
      </w:pPr>
      <w:rPr>
        <w:rFonts w:ascii="Arial" w:hAnsi="Arial" w:hint="default"/>
      </w:rPr>
    </w:lvl>
    <w:lvl w:ilvl="3" w:tplc="B1C6A630" w:tentative="1">
      <w:start w:val="1"/>
      <w:numFmt w:val="bullet"/>
      <w:lvlText w:val="•"/>
      <w:lvlJc w:val="left"/>
      <w:pPr>
        <w:tabs>
          <w:tab w:val="num" w:pos="2880"/>
        </w:tabs>
        <w:ind w:left="2880" w:hanging="360"/>
      </w:pPr>
      <w:rPr>
        <w:rFonts w:ascii="Arial" w:hAnsi="Arial" w:hint="default"/>
      </w:rPr>
    </w:lvl>
    <w:lvl w:ilvl="4" w:tplc="33A81BA2" w:tentative="1">
      <w:start w:val="1"/>
      <w:numFmt w:val="bullet"/>
      <w:lvlText w:val="•"/>
      <w:lvlJc w:val="left"/>
      <w:pPr>
        <w:tabs>
          <w:tab w:val="num" w:pos="3600"/>
        </w:tabs>
        <w:ind w:left="3600" w:hanging="360"/>
      </w:pPr>
      <w:rPr>
        <w:rFonts w:ascii="Arial" w:hAnsi="Arial" w:hint="default"/>
      </w:rPr>
    </w:lvl>
    <w:lvl w:ilvl="5" w:tplc="561271BC" w:tentative="1">
      <w:start w:val="1"/>
      <w:numFmt w:val="bullet"/>
      <w:lvlText w:val="•"/>
      <w:lvlJc w:val="left"/>
      <w:pPr>
        <w:tabs>
          <w:tab w:val="num" w:pos="4320"/>
        </w:tabs>
        <w:ind w:left="4320" w:hanging="360"/>
      </w:pPr>
      <w:rPr>
        <w:rFonts w:ascii="Arial" w:hAnsi="Arial" w:hint="default"/>
      </w:rPr>
    </w:lvl>
    <w:lvl w:ilvl="6" w:tplc="B342731C" w:tentative="1">
      <w:start w:val="1"/>
      <w:numFmt w:val="bullet"/>
      <w:lvlText w:val="•"/>
      <w:lvlJc w:val="left"/>
      <w:pPr>
        <w:tabs>
          <w:tab w:val="num" w:pos="5040"/>
        </w:tabs>
        <w:ind w:left="5040" w:hanging="360"/>
      </w:pPr>
      <w:rPr>
        <w:rFonts w:ascii="Arial" w:hAnsi="Arial" w:hint="default"/>
      </w:rPr>
    </w:lvl>
    <w:lvl w:ilvl="7" w:tplc="60EC9DA6" w:tentative="1">
      <w:start w:val="1"/>
      <w:numFmt w:val="bullet"/>
      <w:lvlText w:val="•"/>
      <w:lvlJc w:val="left"/>
      <w:pPr>
        <w:tabs>
          <w:tab w:val="num" w:pos="5760"/>
        </w:tabs>
        <w:ind w:left="5760" w:hanging="360"/>
      </w:pPr>
      <w:rPr>
        <w:rFonts w:ascii="Arial" w:hAnsi="Arial" w:hint="default"/>
      </w:rPr>
    </w:lvl>
    <w:lvl w:ilvl="8" w:tplc="99EA2E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711190"/>
    <w:multiLevelType w:val="hybridMultilevel"/>
    <w:tmpl w:val="0C8A5C7C"/>
    <w:lvl w:ilvl="0" w:tplc="5D7854F6">
      <w:start w:val="1"/>
      <w:numFmt w:val="bullet"/>
      <w:lvlText w:val="•"/>
      <w:lvlJc w:val="left"/>
      <w:pPr>
        <w:tabs>
          <w:tab w:val="num" w:pos="720"/>
        </w:tabs>
        <w:ind w:left="720" w:hanging="360"/>
      </w:pPr>
      <w:rPr>
        <w:rFonts w:ascii="Arial" w:hAnsi="Arial" w:hint="default"/>
      </w:rPr>
    </w:lvl>
    <w:lvl w:ilvl="1" w:tplc="FD2061B8" w:tentative="1">
      <w:start w:val="1"/>
      <w:numFmt w:val="bullet"/>
      <w:lvlText w:val="•"/>
      <w:lvlJc w:val="left"/>
      <w:pPr>
        <w:tabs>
          <w:tab w:val="num" w:pos="1440"/>
        </w:tabs>
        <w:ind w:left="1440" w:hanging="360"/>
      </w:pPr>
      <w:rPr>
        <w:rFonts w:ascii="Arial" w:hAnsi="Arial" w:hint="default"/>
      </w:rPr>
    </w:lvl>
    <w:lvl w:ilvl="2" w:tplc="422AB4D2" w:tentative="1">
      <w:start w:val="1"/>
      <w:numFmt w:val="bullet"/>
      <w:lvlText w:val="•"/>
      <w:lvlJc w:val="left"/>
      <w:pPr>
        <w:tabs>
          <w:tab w:val="num" w:pos="2160"/>
        </w:tabs>
        <w:ind w:left="2160" w:hanging="360"/>
      </w:pPr>
      <w:rPr>
        <w:rFonts w:ascii="Arial" w:hAnsi="Arial" w:hint="default"/>
      </w:rPr>
    </w:lvl>
    <w:lvl w:ilvl="3" w:tplc="79D200A4" w:tentative="1">
      <w:start w:val="1"/>
      <w:numFmt w:val="bullet"/>
      <w:lvlText w:val="•"/>
      <w:lvlJc w:val="left"/>
      <w:pPr>
        <w:tabs>
          <w:tab w:val="num" w:pos="2880"/>
        </w:tabs>
        <w:ind w:left="2880" w:hanging="360"/>
      </w:pPr>
      <w:rPr>
        <w:rFonts w:ascii="Arial" w:hAnsi="Arial" w:hint="default"/>
      </w:rPr>
    </w:lvl>
    <w:lvl w:ilvl="4" w:tplc="08108BEC" w:tentative="1">
      <w:start w:val="1"/>
      <w:numFmt w:val="bullet"/>
      <w:lvlText w:val="•"/>
      <w:lvlJc w:val="left"/>
      <w:pPr>
        <w:tabs>
          <w:tab w:val="num" w:pos="3600"/>
        </w:tabs>
        <w:ind w:left="3600" w:hanging="360"/>
      </w:pPr>
      <w:rPr>
        <w:rFonts w:ascii="Arial" w:hAnsi="Arial" w:hint="default"/>
      </w:rPr>
    </w:lvl>
    <w:lvl w:ilvl="5" w:tplc="54D03F02" w:tentative="1">
      <w:start w:val="1"/>
      <w:numFmt w:val="bullet"/>
      <w:lvlText w:val="•"/>
      <w:lvlJc w:val="left"/>
      <w:pPr>
        <w:tabs>
          <w:tab w:val="num" w:pos="4320"/>
        </w:tabs>
        <w:ind w:left="4320" w:hanging="360"/>
      </w:pPr>
      <w:rPr>
        <w:rFonts w:ascii="Arial" w:hAnsi="Arial" w:hint="default"/>
      </w:rPr>
    </w:lvl>
    <w:lvl w:ilvl="6" w:tplc="7B9690C2" w:tentative="1">
      <w:start w:val="1"/>
      <w:numFmt w:val="bullet"/>
      <w:lvlText w:val="•"/>
      <w:lvlJc w:val="left"/>
      <w:pPr>
        <w:tabs>
          <w:tab w:val="num" w:pos="5040"/>
        </w:tabs>
        <w:ind w:left="5040" w:hanging="360"/>
      </w:pPr>
      <w:rPr>
        <w:rFonts w:ascii="Arial" w:hAnsi="Arial" w:hint="default"/>
      </w:rPr>
    </w:lvl>
    <w:lvl w:ilvl="7" w:tplc="F74E17D6" w:tentative="1">
      <w:start w:val="1"/>
      <w:numFmt w:val="bullet"/>
      <w:lvlText w:val="•"/>
      <w:lvlJc w:val="left"/>
      <w:pPr>
        <w:tabs>
          <w:tab w:val="num" w:pos="5760"/>
        </w:tabs>
        <w:ind w:left="5760" w:hanging="360"/>
      </w:pPr>
      <w:rPr>
        <w:rFonts w:ascii="Arial" w:hAnsi="Arial" w:hint="default"/>
      </w:rPr>
    </w:lvl>
    <w:lvl w:ilvl="8" w:tplc="D34239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7"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195628"/>
    <w:multiLevelType w:val="hybridMultilevel"/>
    <w:tmpl w:val="0E80A444"/>
    <w:lvl w:ilvl="0" w:tplc="793A0D0E">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71F53"/>
    <w:multiLevelType w:val="hybridMultilevel"/>
    <w:tmpl w:val="01EC27B2"/>
    <w:lvl w:ilvl="0" w:tplc="ED0C7B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25"/>
  </w:num>
  <w:num w:numId="4">
    <w:abstractNumId w:val="30"/>
  </w:num>
  <w:num w:numId="5">
    <w:abstractNumId w:val="21"/>
  </w:num>
  <w:num w:numId="6">
    <w:abstractNumId w:val="32"/>
  </w:num>
  <w:num w:numId="7">
    <w:abstractNumId w:val="36"/>
  </w:num>
  <w:num w:numId="8">
    <w:abstractNumId w:val="10"/>
  </w:num>
  <w:num w:numId="9">
    <w:abstractNumId w:val="38"/>
  </w:num>
  <w:num w:numId="10">
    <w:abstractNumId w:val="23"/>
  </w:num>
  <w:num w:numId="11">
    <w:abstractNumId w:val="7"/>
  </w:num>
  <w:num w:numId="12">
    <w:abstractNumId w:val="2"/>
  </w:num>
  <w:num w:numId="13">
    <w:abstractNumId w:val="41"/>
  </w:num>
  <w:num w:numId="14">
    <w:abstractNumId w:val="20"/>
  </w:num>
  <w:num w:numId="15">
    <w:abstractNumId w:val="8"/>
  </w:num>
  <w:num w:numId="16">
    <w:abstractNumId w:val="3"/>
  </w:num>
  <w:num w:numId="17">
    <w:abstractNumId w:val="11"/>
  </w:num>
  <w:num w:numId="18">
    <w:abstractNumId w:val="31"/>
  </w:num>
  <w:num w:numId="19">
    <w:abstractNumId w:val="24"/>
  </w:num>
  <w:num w:numId="20">
    <w:abstractNumId w:val="19"/>
  </w:num>
  <w:num w:numId="21">
    <w:abstractNumId w:val="22"/>
  </w:num>
  <w:num w:numId="22">
    <w:abstractNumId w:val="6"/>
  </w:num>
  <w:num w:numId="23">
    <w:abstractNumId w:val="37"/>
  </w:num>
  <w:num w:numId="24">
    <w:abstractNumId w:val="9"/>
  </w:num>
  <w:num w:numId="25">
    <w:abstractNumId w:val="40"/>
  </w:num>
  <w:num w:numId="26">
    <w:abstractNumId w:val="28"/>
  </w:num>
  <w:num w:numId="27">
    <w:abstractNumId w:val="5"/>
  </w:num>
  <w:num w:numId="28">
    <w:abstractNumId w:val="27"/>
  </w:num>
  <w:num w:numId="29">
    <w:abstractNumId w:val="29"/>
  </w:num>
  <w:num w:numId="30">
    <w:abstractNumId w:val="35"/>
  </w:num>
  <w:num w:numId="31">
    <w:abstractNumId w:val="17"/>
  </w:num>
  <w:num w:numId="32">
    <w:abstractNumId w:val="16"/>
  </w:num>
  <w:num w:numId="33">
    <w:abstractNumId w:val="15"/>
  </w:num>
  <w:num w:numId="34">
    <w:abstractNumId w:val="18"/>
  </w:num>
  <w:num w:numId="35">
    <w:abstractNumId w:val="13"/>
  </w:num>
  <w:num w:numId="36">
    <w:abstractNumId w:val="1"/>
  </w:num>
  <w:num w:numId="37">
    <w:abstractNumId w:val="14"/>
  </w:num>
  <w:num w:numId="38">
    <w:abstractNumId w:val="12"/>
  </w:num>
  <w:num w:numId="39">
    <w:abstractNumId w:val="33"/>
  </w:num>
  <w:num w:numId="40">
    <w:abstractNumId w:val="34"/>
  </w:num>
  <w:num w:numId="41">
    <w:abstractNumId w:val="39"/>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5C95"/>
    <w:rsid w:val="0000789C"/>
    <w:rsid w:val="0002016E"/>
    <w:rsid w:val="00022216"/>
    <w:rsid w:val="000236C6"/>
    <w:rsid w:val="000273BD"/>
    <w:rsid w:val="000369C3"/>
    <w:rsid w:val="00036B14"/>
    <w:rsid w:val="00037582"/>
    <w:rsid w:val="00037919"/>
    <w:rsid w:val="0004041F"/>
    <w:rsid w:val="00042869"/>
    <w:rsid w:val="00042BED"/>
    <w:rsid w:val="00045BDF"/>
    <w:rsid w:val="00045EFB"/>
    <w:rsid w:val="00046020"/>
    <w:rsid w:val="000500F7"/>
    <w:rsid w:val="000512B7"/>
    <w:rsid w:val="00054E5C"/>
    <w:rsid w:val="0005518C"/>
    <w:rsid w:val="00063D75"/>
    <w:rsid w:val="00063DAE"/>
    <w:rsid w:val="00064278"/>
    <w:rsid w:val="0006587F"/>
    <w:rsid w:val="000707F2"/>
    <w:rsid w:val="0007530E"/>
    <w:rsid w:val="00080C19"/>
    <w:rsid w:val="00081CDD"/>
    <w:rsid w:val="00085FF9"/>
    <w:rsid w:val="00087D07"/>
    <w:rsid w:val="00091116"/>
    <w:rsid w:val="00097E6B"/>
    <w:rsid w:val="000B1990"/>
    <w:rsid w:val="000B7C79"/>
    <w:rsid w:val="000C523A"/>
    <w:rsid w:val="000C6FD1"/>
    <w:rsid w:val="000D1117"/>
    <w:rsid w:val="000D4151"/>
    <w:rsid w:val="000D7B57"/>
    <w:rsid w:val="000E024B"/>
    <w:rsid w:val="000E1342"/>
    <w:rsid w:val="000E330D"/>
    <w:rsid w:val="000E6EEA"/>
    <w:rsid w:val="000E7606"/>
    <w:rsid w:val="000E792E"/>
    <w:rsid w:val="000F70C7"/>
    <w:rsid w:val="0010253A"/>
    <w:rsid w:val="001030EF"/>
    <w:rsid w:val="00114D8E"/>
    <w:rsid w:val="001172E8"/>
    <w:rsid w:val="00122D19"/>
    <w:rsid w:val="001232EC"/>
    <w:rsid w:val="00124E5D"/>
    <w:rsid w:val="00125DAC"/>
    <w:rsid w:val="0013490A"/>
    <w:rsid w:val="0013602A"/>
    <w:rsid w:val="001369AD"/>
    <w:rsid w:val="00142B16"/>
    <w:rsid w:val="0014302F"/>
    <w:rsid w:val="00144F61"/>
    <w:rsid w:val="00146E52"/>
    <w:rsid w:val="001479F3"/>
    <w:rsid w:val="001536B5"/>
    <w:rsid w:val="00154C05"/>
    <w:rsid w:val="001554D1"/>
    <w:rsid w:val="0015697F"/>
    <w:rsid w:val="0015790E"/>
    <w:rsid w:val="00166645"/>
    <w:rsid w:val="00172DAC"/>
    <w:rsid w:val="00174B1F"/>
    <w:rsid w:val="0018067C"/>
    <w:rsid w:val="001839D7"/>
    <w:rsid w:val="00190E24"/>
    <w:rsid w:val="001A0CC7"/>
    <w:rsid w:val="001A1E09"/>
    <w:rsid w:val="001A452F"/>
    <w:rsid w:val="001B159B"/>
    <w:rsid w:val="001B1620"/>
    <w:rsid w:val="001B1B3A"/>
    <w:rsid w:val="001B1EC7"/>
    <w:rsid w:val="001B2E20"/>
    <w:rsid w:val="001B36F8"/>
    <w:rsid w:val="001B624B"/>
    <w:rsid w:val="001B7537"/>
    <w:rsid w:val="001C099B"/>
    <w:rsid w:val="001C3BBA"/>
    <w:rsid w:val="001C6F21"/>
    <w:rsid w:val="001C7BC2"/>
    <w:rsid w:val="001D0240"/>
    <w:rsid w:val="001D0759"/>
    <w:rsid w:val="001E008E"/>
    <w:rsid w:val="001E0B5B"/>
    <w:rsid w:val="001E1134"/>
    <w:rsid w:val="001F70E2"/>
    <w:rsid w:val="00205F8E"/>
    <w:rsid w:val="00207541"/>
    <w:rsid w:val="00207596"/>
    <w:rsid w:val="002162F8"/>
    <w:rsid w:val="002217B4"/>
    <w:rsid w:val="00230057"/>
    <w:rsid w:val="00233298"/>
    <w:rsid w:val="002424FF"/>
    <w:rsid w:val="00244F6A"/>
    <w:rsid w:val="00245257"/>
    <w:rsid w:val="002500D0"/>
    <w:rsid w:val="0025012E"/>
    <w:rsid w:val="00255F0A"/>
    <w:rsid w:val="00256BFC"/>
    <w:rsid w:val="002576F2"/>
    <w:rsid w:val="00260902"/>
    <w:rsid w:val="00260F28"/>
    <w:rsid w:val="00262FFA"/>
    <w:rsid w:val="00263DE8"/>
    <w:rsid w:val="00264BDF"/>
    <w:rsid w:val="00266E71"/>
    <w:rsid w:val="002742EE"/>
    <w:rsid w:val="002804CE"/>
    <w:rsid w:val="00287B8D"/>
    <w:rsid w:val="002902B9"/>
    <w:rsid w:val="00291786"/>
    <w:rsid w:val="0029388D"/>
    <w:rsid w:val="0029478C"/>
    <w:rsid w:val="00295AEE"/>
    <w:rsid w:val="00296171"/>
    <w:rsid w:val="002A30DB"/>
    <w:rsid w:val="002A5D6B"/>
    <w:rsid w:val="002B2E77"/>
    <w:rsid w:val="002B3546"/>
    <w:rsid w:val="002B57F0"/>
    <w:rsid w:val="002C343D"/>
    <w:rsid w:val="002C481C"/>
    <w:rsid w:val="002D0EEA"/>
    <w:rsid w:val="002D20C0"/>
    <w:rsid w:val="002D43BB"/>
    <w:rsid w:val="002D6DA9"/>
    <w:rsid w:val="002D79FA"/>
    <w:rsid w:val="002E0ABA"/>
    <w:rsid w:val="002E59D6"/>
    <w:rsid w:val="003004C2"/>
    <w:rsid w:val="003009A5"/>
    <w:rsid w:val="00312866"/>
    <w:rsid w:val="00314B41"/>
    <w:rsid w:val="00315EF0"/>
    <w:rsid w:val="003214D1"/>
    <w:rsid w:val="003216E0"/>
    <w:rsid w:val="00321A89"/>
    <w:rsid w:val="0032350B"/>
    <w:rsid w:val="00327D74"/>
    <w:rsid w:val="00333D98"/>
    <w:rsid w:val="003362EB"/>
    <w:rsid w:val="0033638B"/>
    <w:rsid w:val="00340BCE"/>
    <w:rsid w:val="00340D26"/>
    <w:rsid w:val="00340FB1"/>
    <w:rsid w:val="00343629"/>
    <w:rsid w:val="0035424A"/>
    <w:rsid w:val="00355044"/>
    <w:rsid w:val="00355ABE"/>
    <w:rsid w:val="00362F3B"/>
    <w:rsid w:val="00363577"/>
    <w:rsid w:val="00366839"/>
    <w:rsid w:val="00372768"/>
    <w:rsid w:val="0037788D"/>
    <w:rsid w:val="00382105"/>
    <w:rsid w:val="0038329C"/>
    <w:rsid w:val="00384FCD"/>
    <w:rsid w:val="00386F50"/>
    <w:rsid w:val="00387099"/>
    <w:rsid w:val="003907A8"/>
    <w:rsid w:val="003945A7"/>
    <w:rsid w:val="0039464A"/>
    <w:rsid w:val="003A012C"/>
    <w:rsid w:val="003A0390"/>
    <w:rsid w:val="003B067D"/>
    <w:rsid w:val="003B0F05"/>
    <w:rsid w:val="003B2922"/>
    <w:rsid w:val="003C0419"/>
    <w:rsid w:val="003C0B13"/>
    <w:rsid w:val="003C2830"/>
    <w:rsid w:val="003C2F38"/>
    <w:rsid w:val="003C5BD8"/>
    <w:rsid w:val="003C7506"/>
    <w:rsid w:val="003D4599"/>
    <w:rsid w:val="003E3336"/>
    <w:rsid w:val="003E4EB7"/>
    <w:rsid w:val="003F1061"/>
    <w:rsid w:val="003F14E0"/>
    <w:rsid w:val="003F60AF"/>
    <w:rsid w:val="00400A2E"/>
    <w:rsid w:val="004013A4"/>
    <w:rsid w:val="00403D87"/>
    <w:rsid w:val="00404129"/>
    <w:rsid w:val="0040494C"/>
    <w:rsid w:val="004052F4"/>
    <w:rsid w:val="004054D3"/>
    <w:rsid w:val="00410A8D"/>
    <w:rsid w:val="0041454F"/>
    <w:rsid w:val="004147F2"/>
    <w:rsid w:val="0041506D"/>
    <w:rsid w:val="00421B57"/>
    <w:rsid w:val="00422609"/>
    <w:rsid w:val="00423CEA"/>
    <w:rsid w:val="00426EA5"/>
    <w:rsid w:val="00427E2F"/>
    <w:rsid w:val="00431380"/>
    <w:rsid w:val="00436176"/>
    <w:rsid w:val="00436BFE"/>
    <w:rsid w:val="00436D42"/>
    <w:rsid w:val="00440303"/>
    <w:rsid w:val="0044037D"/>
    <w:rsid w:val="004456A9"/>
    <w:rsid w:val="00446569"/>
    <w:rsid w:val="004504C9"/>
    <w:rsid w:val="004523F4"/>
    <w:rsid w:val="00456A24"/>
    <w:rsid w:val="00457C6E"/>
    <w:rsid w:val="00461019"/>
    <w:rsid w:val="0046275D"/>
    <w:rsid w:val="00464CA3"/>
    <w:rsid w:val="0046551E"/>
    <w:rsid w:val="00476823"/>
    <w:rsid w:val="00476C2A"/>
    <w:rsid w:val="00480C10"/>
    <w:rsid w:val="00481F55"/>
    <w:rsid w:val="00483468"/>
    <w:rsid w:val="00483DE7"/>
    <w:rsid w:val="0049213F"/>
    <w:rsid w:val="0049613A"/>
    <w:rsid w:val="004A2F97"/>
    <w:rsid w:val="004A488A"/>
    <w:rsid w:val="004A772F"/>
    <w:rsid w:val="004B49AA"/>
    <w:rsid w:val="004C0ECA"/>
    <w:rsid w:val="004C5F77"/>
    <w:rsid w:val="004D3F76"/>
    <w:rsid w:val="004D4F96"/>
    <w:rsid w:val="004D634E"/>
    <w:rsid w:val="004E26B2"/>
    <w:rsid w:val="004E7551"/>
    <w:rsid w:val="004F25FD"/>
    <w:rsid w:val="004F412A"/>
    <w:rsid w:val="004F53B6"/>
    <w:rsid w:val="004F622E"/>
    <w:rsid w:val="00500B75"/>
    <w:rsid w:val="00505229"/>
    <w:rsid w:val="00505979"/>
    <w:rsid w:val="0051062E"/>
    <w:rsid w:val="0051448E"/>
    <w:rsid w:val="00517C94"/>
    <w:rsid w:val="00517F9D"/>
    <w:rsid w:val="00520E7B"/>
    <w:rsid w:val="00520F4B"/>
    <w:rsid w:val="00521317"/>
    <w:rsid w:val="00524FF3"/>
    <w:rsid w:val="00527F03"/>
    <w:rsid w:val="00527F8A"/>
    <w:rsid w:val="005328B5"/>
    <w:rsid w:val="00534087"/>
    <w:rsid w:val="00535140"/>
    <w:rsid w:val="00537332"/>
    <w:rsid w:val="0054317F"/>
    <w:rsid w:val="005446A1"/>
    <w:rsid w:val="0054719B"/>
    <w:rsid w:val="0055738F"/>
    <w:rsid w:val="00557D4B"/>
    <w:rsid w:val="00560F08"/>
    <w:rsid w:val="0056568B"/>
    <w:rsid w:val="0057366E"/>
    <w:rsid w:val="005778BD"/>
    <w:rsid w:val="00581DB1"/>
    <w:rsid w:val="00582CAB"/>
    <w:rsid w:val="00586156"/>
    <w:rsid w:val="0059466F"/>
    <w:rsid w:val="00595973"/>
    <w:rsid w:val="00597070"/>
    <w:rsid w:val="005A312F"/>
    <w:rsid w:val="005A65BE"/>
    <w:rsid w:val="005A6DE2"/>
    <w:rsid w:val="005A74CD"/>
    <w:rsid w:val="005B0A3D"/>
    <w:rsid w:val="005B5084"/>
    <w:rsid w:val="005B5C6F"/>
    <w:rsid w:val="005B738C"/>
    <w:rsid w:val="005C4F4B"/>
    <w:rsid w:val="005D201C"/>
    <w:rsid w:val="005D5534"/>
    <w:rsid w:val="005D6B6E"/>
    <w:rsid w:val="005E55F7"/>
    <w:rsid w:val="005E6C8C"/>
    <w:rsid w:val="005F1605"/>
    <w:rsid w:val="005F279A"/>
    <w:rsid w:val="005F3A25"/>
    <w:rsid w:val="00600ADB"/>
    <w:rsid w:val="00600B37"/>
    <w:rsid w:val="00601F79"/>
    <w:rsid w:val="00610DC9"/>
    <w:rsid w:val="00612769"/>
    <w:rsid w:val="00620296"/>
    <w:rsid w:val="006209CD"/>
    <w:rsid w:val="00621F7E"/>
    <w:rsid w:val="00623263"/>
    <w:rsid w:val="00626628"/>
    <w:rsid w:val="00632162"/>
    <w:rsid w:val="00635308"/>
    <w:rsid w:val="00640363"/>
    <w:rsid w:val="0064384F"/>
    <w:rsid w:val="006438A3"/>
    <w:rsid w:val="00647D8A"/>
    <w:rsid w:val="00651E33"/>
    <w:rsid w:val="006530FE"/>
    <w:rsid w:val="00662A01"/>
    <w:rsid w:val="00664B96"/>
    <w:rsid w:val="00667A31"/>
    <w:rsid w:val="00674A20"/>
    <w:rsid w:val="006805FD"/>
    <w:rsid w:val="006807E3"/>
    <w:rsid w:val="006813FA"/>
    <w:rsid w:val="00683D31"/>
    <w:rsid w:val="006915FF"/>
    <w:rsid w:val="00694ED0"/>
    <w:rsid w:val="006A5BD0"/>
    <w:rsid w:val="006A712D"/>
    <w:rsid w:val="006B2436"/>
    <w:rsid w:val="006B3A59"/>
    <w:rsid w:val="006B79E3"/>
    <w:rsid w:val="006C0BB2"/>
    <w:rsid w:val="006C12DE"/>
    <w:rsid w:val="006C1D96"/>
    <w:rsid w:val="006C5ED9"/>
    <w:rsid w:val="006E175E"/>
    <w:rsid w:val="006E254E"/>
    <w:rsid w:val="006E7B65"/>
    <w:rsid w:val="00701187"/>
    <w:rsid w:val="00702EB8"/>
    <w:rsid w:val="00705E0D"/>
    <w:rsid w:val="007067A8"/>
    <w:rsid w:val="00710096"/>
    <w:rsid w:val="00712BC8"/>
    <w:rsid w:val="007130B5"/>
    <w:rsid w:val="0071390B"/>
    <w:rsid w:val="007165F3"/>
    <w:rsid w:val="00717CCC"/>
    <w:rsid w:val="00722924"/>
    <w:rsid w:val="007331DA"/>
    <w:rsid w:val="007366C0"/>
    <w:rsid w:val="00737E91"/>
    <w:rsid w:val="00743D60"/>
    <w:rsid w:val="00745B50"/>
    <w:rsid w:val="00745BBB"/>
    <w:rsid w:val="00745BCD"/>
    <w:rsid w:val="00750465"/>
    <w:rsid w:val="0075364E"/>
    <w:rsid w:val="0075604E"/>
    <w:rsid w:val="007575DD"/>
    <w:rsid w:val="00764301"/>
    <w:rsid w:val="0077399C"/>
    <w:rsid w:val="007849F3"/>
    <w:rsid w:val="00784DC8"/>
    <w:rsid w:val="00791B75"/>
    <w:rsid w:val="0079416A"/>
    <w:rsid w:val="00794448"/>
    <w:rsid w:val="0079447F"/>
    <w:rsid w:val="0079595B"/>
    <w:rsid w:val="007B62B2"/>
    <w:rsid w:val="007C0C7E"/>
    <w:rsid w:val="007C1101"/>
    <w:rsid w:val="007C370A"/>
    <w:rsid w:val="007C3908"/>
    <w:rsid w:val="007C475C"/>
    <w:rsid w:val="007D38E7"/>
    <w:rsid w:val="007D4525"/>
    <w:rsid w:val="007D461B"/>
    <w:rsid w:val="007E6B5F"/>
    <w:rsid w:val="007E7769"/>
    <w:rsid w:val="007F0BCB"/>
    <w:rsid w:val="007F2CAB"/>
    <w:rsid w:val="007F3D75"/>
    <w:rsid w:val="007F6421"/>
    <w:rsid w:val="007F72E4"/>
    <w:rsid w:val="0080168D"/>
    <w:rsid w:val="008019C7"/>
    <w:rsid w:val="00801FF0"/>
    <w:rsid w:val="00810180"/>
    <w:rsid w:val="00810FE0"/>
    <w:rsid w:val="00814286"/>
    <w:rsid w:val="008143F4"/>
    <w:rsid w:val="00820856"/>
    <w:rsid w:val="008208F6"/>
    <w:rsid w:val="00820A4A"/>
    <w:rsid w:val="008221BA"/>
    <w:rsid w:val="008260B0"/>
    <w:rsid w:val="008319A5"/>
    <w:rsid w:val="0083283A"/>
    <w:rsid w:val="00835C35"/>
    <w:rsid w:val="00845880"/>
    <w:rsid w:val="0084729A"/>
    <w:rsid w:val="008539A0"/>
    <w:rsid w:val="0085676B"/>
    <w:rsid w:val="008639B9"/>
    <w:rsid w:val="0086481F"/>
    <w:rsid w:val="00866ACC"/>
    <w:rsid w:val="00866F78"/>
    <w:rsid w:val="00867677"/>
    <w:rsid w:val="00874392"/>
    <w:rsid w:val="008744D8"/>
    <w:rsid w:val="00874D52"/>
    <w:rsid w:val="00880446"/>
    <w:rsid w:val="0088116B"/>
    <w:rsid w:val="0089184B"/>
    <w:rsid w:val="0089235F"/>
    <w:rsid w:val="00893F41"/>
    <w:rsid w:val="008A0F3C"/>
    <w:rsid w:val="008A385C"/>
    <w:rsid w:val="008A43E0"/>
    <w:rsid w:val="008B2A6B"/>
    <w:rsid w:val="008B3FAF"/>
    <w:rsid w:val="008B6A31"/>
    <w:rsid w:val="008B7F3F"/>
    <w:rsid w:val="008C075D"/>
    <w:rsid w:val="008C6866"/>
    <w:rsid w:val="008C6B2A"/>
    <w:rsid w:val="008C724C"/>
    <w:rsid w:val="008D022D"/>
    <w:rsid w:val="008D58EC"/>
    <w:rsid w:val="008D60F7"/>
    <w:rsid w:val="008E469A"/>
    <w:rsid w:val="008F345D"/>
    <w:rsid w:val="008F3E1A"/>
    <w:rsid w:val="00900B1E"/>
    <w:rsid w:val="00900DDD"/>
    <w:rsid w:val="00901E73"/>
    <w:rsid w:val="00904028"/>
    <w:rsid w:val="00905BDA"/>
    <w:rsid w:val="00905CEA"/>
    <w:rsid w:val="00910683"/>
    <w:rsid w:val="00911E51"/>
    <w:rsid w:val="009144A5"/>
    <w:rsid w:val="009227A4"/>
    <w:rsid w:val="00927AA0"/>
    <w:rsid w:val="00930937"/>
    <w:rsid w:val="00932470"/>
    <w:rsid w:val="00933FE6"/>
    <w:rsid w:val="00935E08"/>
    <w:rsid w:val="009365E1"/>
    <w:rsid w:val="009423AD"/>
    <w:rsid w:val="0094476D"/>
    <w:rsid w:val="0094584E"/>
    <w:rsid w:val="009467F5"/>
    <w:rsid w:val="00946B91"/>
    <w:rsid w:val="00946ECC"/>
    <w:rsid w:val="00952795"/>
    <w:rsid w:val="00953207"/>
    <w:rsid w:val="0095520E"/>
    <w:rsid w:val="00963807"/>
    <w:rsid w:val="00965F9D"/>
    <w:rsid w:val="00972BE8"/>
    <w:rsid w:val="00975017"/>
    <w:rsid w:val="00977172"/>
    <w:rsid w:val="00980734"/>
    <w:rsid w:val="00983CCC"/>
    <w:rsid w:val="00983EFA"/>
    <w:rsid w:val="0099393C"/>
    <w:rsid w:val="009A0514"/>
    <w:rsid w:val="009A3F14"/>
    <w:rsid w:val="009A63A0"/>
    <w:rsid w:val="009A6EF5"/>
    <w:rsid w:val="009B35DE"/>
    <w:rsid w:val="009B4B23"/>
    <w:rsid w:val="009B5D79"/>
    <w:rsid w:val="009C1283"/>
    <w:rsid w:val="009C1D18"/>
    <w:rsid w:val="009C5056"/>
    <w:rsid w:val="009C7295"/>
    <w:rsid w:val="009D25C6"/>
    <w:rsid w:val="009D2CAE"/>
    <w:rsid w:val="009D5294"/>
    <w:rsid w:val="009E2C20"/>
    <w:rsid w:val="009F0072"/>
    <w:rsid w:val="009F4BFB"/>
    <w:rsid w:val="00A02592"/>
    <w:rsid w:val="00A06BA2"/>
    <w:rsid w:val="00A06D2F"/>
    <w:rsid w:val="00A06DC4"/>
    <w:rsid w:val="00A168C0"/>
    <w:rsid w:val="00A238B6"/>
    <w:rsid w:val="00A27BA8"/>
    <w:rsid w:val="00A30C68"/>
    <w:rsid w:val="00A33AC8"/>
    <w:rsid w:val="00A34ED4"/>
    <w:rsid w:val="00A40DBD"/>
    <w:rsid w:val="00A450A0"/>
    <w:rsid w:val="00A45641"/>
    <w:rsid w:val="00A45914"/>
    <w:rsid w:val="00A5043D"/>
    <w:rsid w:val="00A52349"/>
    <w:rsid w:val="00A544C8"/>
    <w:rsid w:val="00A54682"/>
    <w:rsid w:val="00A553CA"/>
    <w:rsid w:val="00A624A4"/>
    <w:rsid w:val="00A64E9E"/>
    <w:rsid w:val="00A65F7B"/>
    <w:rsid w:val="00A70500"/>
    <w:rsid w:val="00A8319B"/>
    <w:rsid w:val="00A86E0F"/>
    <w:rsid w:val="00A91281"/>
    <w:rsid w:val="00A9229B"/>
    <w:rsid w:val="00A9498E"/>
    <w:rsid w:val="00A95E59"/>
    <w:rsid w:val="00AA0C73"/>
    <w:rsid w:val="00AA43FE"/>
    <w:rsid w:val="00AA6350"/>
    <w:rsid w:val="00AA685A"/>
    <w:rsid w:val="00AB0159"/>
    <w:rsid w:val="00AB16E1"/>
    <w:rsid w:val="00AB425B"/>
    <w:rsid w:val="00AB5BA1"/>
    <w:rsid w:val="00AB6DBE"/>
    <w:rsid w:val="00AC0FBA"/>
    <w:rsid w:val="00AC15EF"/>
    <w:rsid w:val="00AC1F9E"/>
    <w:rsid w:val="00AC2E25"/>
    <w:rsid w:val="00AC6C81"/>
    <w:rsid w:val="00AD0869"/>
    <w:rsid w:val="00AD2460"/>
    <w:rsid w:val="00AD444A"/>
    <w:rsid w:val="00AD7F52"/>
    <w:rsid w:val="00AE187B"/>
    <w:rsid w:val="00AE6490"/>
    <w:rsid w:val="00AE7EB7"/>
    <w:rsid w:val="00AF1253"/>
    <w:rsid w:val="00AF522C"/>
    <w:rsid w:val="00AF71CE"/>
    <w:rsid w:val="00B00EDB"/>
    <w:rsid w:val="00B01592"/>
    <w:rsid w:val="00B037AB"/>
    <w:rsid w:val="00B06C22"/>
    <w:rsid w:val="00B06E32"/>
    <w:rsid w:val="00B07575"/>
    <w:rsid w:val="00B07B9D"/>
    <w:rsid w:val="00B16A2A"/>
    <w:rsid w:val="00B17212"/>
    <w:rsid w:val="00B17547"/>
    <w:rsid w:val="00B248C0"/>
    <w:rsid w:val="00B25FF6"/>
    <w:rsid w:val="00B30767"/>
    <w:rsid w:val="00B32506"/>
    <w:rsid w:val="00B339A0"/>
    <w:rsid w:val="00B34CFC"/>
    <w:rsid w:val="00B3722A"/>
    <w:rsid w:val="00B40DA9"/>
    <w:rsid w:val="00B42AB1"/>
    <w:rsid w:val="00B44059"/>
    <w:rsid w:val="00B46110"/>
    <w:rsid w:val="00B4627F"/>
    <w:rsid w:val="00B50E38"/>
    <w:rsid w:val="00B517F2"/>
    <w:rsid w:val="00B53A01"/>
    <w:rsid w:val="00B54CD3"/>
    <w:rsid w:val="00B563DD"/>
    <w:rsid w:val="00B564B4"/>
    <w:rsid w:val="00B60449"/>
    <w:rsid w:val="00B64F64"/>
    <w:rsid w:val="00B66A8B"/>
    <w:rsid w:val="00B67771"/>
    <w:rsid w:val="00B71340"/>
    <w:rsid w:val="00B7321D"/>
    <w:rsid w:val="00B73FDF"/>
    <w:rsid w:val="00B80622"/>
    <w:rsid w:val="00B822DC"/>
    <w:rsid w:val="00B82E59"/>
    <w:rsid w:val="00B84F3B"/>
    <w:rsid w:val="00B86860"/>
    <w:rsid w:val="00B86CC7"/>
    <w:rsid w:val="00B96062"/>
    <w:rsid w:val="00BA11DA"/>
    <w:rsid w:val="00BA219C"/>
    <w:rsid w:val="00BA2B73"/>
    <w:rsid w:val="00BA2E5A"/>
    <w:rsid w:val="00BA3BB8"/>
    <w:rsid w:val="00BA49DF"/>
    <w:rsid w:val="00BA6CD3"/>
    <w:rsid w:val="00BA7766"/>
    <w:rsid w:val="00BA77E3"/>
    <w:rsid w:val="00BB3434"/>
    <w:rsid w:val="00BB4DA5"/>
    <w:rsid w:val="00BC0631"/>
    <w:rsid w:val="00BC0D0A"/>
    <w:rsid w:val="00BC3A60"/>
    <w:rsid w:val="00BC54A0"/>
    <w:rsid w:val="00BD0F8A"/>
    <w:rsid w:val="00BD52C2"/>
    <w:rsid w:val="00BD5705"/>
    <w:rsid w:val="00BE1144"/>
    <w:rsid w:val="00BE7E96"/>
    <w:rsid w:val="00BF27FB"/>
    <w:rsid w:val="00BF2F91"/>
    <w:rsid w:val="00BF33C1"/>
    <w:rsid w:val="00BF5B51"/>
    <w:rsid w:val="00BF66DB"/>
    <w:rsid w:val="00C05451"/>
    <w:rsid w:val="00C056B0"/>
    <w:rsid w:val="00C05C78"/>
    <w:rsid w:val="00C07A6B"/>
    <w:rsid w:val="00C15973"/>
    <w:rsid w:val="00C16784"/>
    <w:rsid w:val="00C23CDB"/>
    <w:rsid w:val="00C262A2"/>
    <w:rsid w:val="00C30A2F"/>
    <w:rsid w:val="00C32B82"/>
    <w:rsid w:val="00C36A53"/>
    <w:rsid w:val="00C4411B"/>
    <w:rsid w:val="00C51EDA"/>
    <w:rsid w:val="00C60F19"/>
    <w:rsid w:val="00C65431"/>
    <w:rsid w:val="00C672BE"/>
    <w:rsid w:val="00C7266E"/>
    <w:rsid w:val="00C74923"/>
    <w:rsid w:val="00C74C69"/>
    <w:rsid w:val="00C75552"/>
    <w:rsid w:val="00C76404"/>
    <w:rsid w:val="00C778FF"/>
    <w:rsid w:val="00C80DB7"/>
    <w:rsid w:val="00C84CE5"/>
    <w:rsid w:val="00C90D68"/>
    <w:rsid w:val="00C91AC2"/>
    <w:rsid w:val="00C94E0B"/>
    <w:rsid w:val="00CA3A6D"/>
    <w:rsid w:val="00CB0DF1"/>
    <w:rsid w:val="00CB2165"/>
    <w:rsid w:val="00CB37F3"/>
    <w:rsid w:val="00CB704C"/>
    <w:rsid w:val="00CC10E9"/>
    <w:rsid w:val="00CC5425"/>
    <w:rsid w:val="00CD37DE"/>
    <w:rsid w:val="00CD4191"/>
    <w:rsid w:val="00CD471E"/>
    <w:rsid w:val="00CD6583"/>
    <w:rsid w:val="00CE04F7"/>
    <w:rsid w:val="00CE3419"/>
    <w:rsid w:val="00CE4D3A"/>
    <w:rsid w:val="00CE6983"/>
    <w:rsid w:val="00D03AD4"/>
    <w:rsid w:val="00D047DA"/>
    <w:rsid w:val="00D04BEA"/>
    <w:rsid w:val="00D05C13"/>
    <w:rsid w:val="00D06194"/>
    <w:rsid w:val="00D0651D"/>
    <w:rsid w:val="00D10724"/>
    <w:rsid w:val="00D132FE"/>
    <w:rsid w:val="00D14140"/>
    <w:rsid w:val="00D14E6F"/>
    <w:rsid w:val="00D15E27"/>
    <w:rsid w:val="00D201DA"/>
    <w:rsid w:val="00D24C0A"/>
    <w:rsid w:val="00D26187"/>
    <w:rsid w:val="00D2656E"/>
    <w:rsid w:val="00D3097D"/>
    <w:rsid w:val="00D31AEF"/>
    <w:rsid w:val="00D40150"/>
    <w:rsid w:val="00D4085B"/>
    <w:rsid w:val="00D434AA"/>
    <w:rsid w:val="00D435C2"/>
    <w:rsid w:val="00D43F0A"/>
    <w:rsid w:val="00D45174"/>
    <w:rsid w:val="00D6066F"/>
    <w:rsid w:val="00D60EF1"/>
    <w:rsid w:val="00D61DA9"/>
    <w:rsid w:val="00D61FB5"/>
    <w:rsid w:val="00D62A52"/>
    <w:rsid w:val="00D65537"/>
    <w:rsid w:val="00D76286"/>
    <w:rsid w:val="00D82162"/>
    <w:rsid w:val="00D8305F"/>
    <w:rsid w:val="00D90AFC"/>
    <w:rsid w:val="00D90D15"/>
    <w:rsid w:val="00D95F0C"/>
    <w:rsid w:val="00DA7FFB"/>
    <w:rsid w:val="00DB26F6"/>
    <w:rsid w:val="00DC6F4D"/>
    <w:rsid w:val="00DC77DB"/>
    <w:rsid w:val="00DD0D40"/>
    <w:rsid w:val="00DE20C2"/>
    <w:rsid w:val="00DE5EF4"/>
    <w:rsid w:val="00DF3E88"/>
    <w:rsid w:val="00DF469B"/>
    <w:rsid w:val="00E03FCE"/>
    <w:rsid w:val="00E06B08"/>
    <w:rsid w:val="00E07417"/>
    <w:rsid w:val="00E11416"/>
    <w:rsid w:val="00E15ED1"/>
    <w:rsid w:val="00E2389A"/>
    <w:rsid w:val="00E251FD"/>
    <w:rsid w:val="00E26E6A"/>
    <w:rsid w:val="00E3117A"/>
    <w:rsid w:val="00E31684"/>
    <w:rsid w:val="00E32DDA"/>
    <w:rsid w:val="00E32EE8"/>
    <w:rsid w:val="00E357FC"/>
    <w:rsid w:val="00E37D8F"/>
    <w:rsid w:val="00E42B67"/>
    <w:rsid w:val="00E4711B"/>
    <w:rsid w:val="00E537D5"/>
    <w:rsid w:val="00E5486D"/>
    <w:rsid w:val="00E571C2"/>
    <w:rsid w:val="00E605EA"/>
    <w:rsid w:val="00E64FFE"/>
    <w:rsid w:val="00E670D8"/>
    <w:rsid w:val="00E70E42"/>
    <w:rsid w:val="00E74900"/>
    <w:rsid w:val="00E74BCC"/>
    <w:rsid w:val="00E836D1"/>
    <w:rsid w:val="00E85198"/>
    <w:rsid w:val="00E860F3"/>
    <w:rsid w:val="00E869B4"/>
    <w:rsid w:val="00E958B0"/>
    <w:rsid w:val="00E958E3"/>
    <w:rsid w:val="00E9595B"/>
    <w:rsid w:val="00EA0011"/>
    <w:rsid w:val="00EA2860"/>
    <w:rsid w:val="00EA2CBA"/>
    <w:rsid w:val="00EA7263"/>
    <w:rsid w:val="00EA74C5"/>
    <w:rsid w:val="00EB2E5E"/>
    <w:rsid w:val="00EB76BB"/>
    <w:rsid w:val="00EC2CE5"/>
    <w:rsid w:val="00EC720F"/>
    <w:rsid w:val="00ED1A12"/>
    <w:rsid w:val="00ED1C72"/>
    <w:rsid w:val="00ED316F"/>
    <w:rsid w:val="00ED6A14"/>
    <w:rsid w:val="00EE564D"/>
    <w:rsid w:val="00EF15B3"/>
    <w:rsid w:val="00EF38BF"/>
    <w:rsid w:val="00EF4C3F"/>
    <w:rsid w:val="00EF786E"/>
    <w:rsid w:val="00F00BC4"/>
    <w:rsid w:val="00F0175D"/>
    <w:rsid w:val="00F0352C"/>
    <w:rsid w:val="00F03D87"/>
    <w:rsid w:val="00F1098D"/>
    <w:rsid w:val="00F10A93"/>
    <w:rsid w:val="00F11B37"/>
    <w:rsid w:val="00F127CE"/>
    <w:rsid w:val="00F1324F"/>
    <w:rsid w:val="00F22702"/>
    <w:rsid w:val="00F2289D"/>
    <w:rsid w:val="00F26EB9"/>
    <w:rsid w:val="00F30092"/>
    <w:rsid w:val="00F31C29"/>
    <w:rsid w:val="00F321D7"/>
    <w:rsid w:val="00F33A06"/>
    <w:rsid w:val="00F34287"/>
    <w:rsid w:val="00F36DAE"/>
    <w:rsid w:val="00F43612"/>
    <w:rsid w:val="00F43A50"/>
    <w:rsid w:val="00F45DBB"/>
    <w:rsid w:val="00F460EB"/>
    <w:rsid w:val="00F46141"/>
    <w:rsid w:val="00F472FC"/>
    <w:rsid w:val="00F47E3B"/>
    <w:rsid w:val="00F50996"/>
    <w:rsid w:val="00F5209A"/>
    <w:rsid w:val="00F542EA"/>
    <w:rsid w:val="00F5785D"/>
    <w:rsid w:val="00F617C8"/>
    <w:rsid w:val="00F629D0"/>
    <w:rsid w:val="00F637C3"/>
    <w:rsid w:val="00F63972"/>
    <w:rsid w:val="00F678F5"/>
    <w:rsid w:val="00F67F4B"/>
    <w:rsid w:val="00F731F3"/>
    <w:rsid w:val="00F83FCC"/>
    <w:rsid w:val="00F85BD3"/>
    <w:rsid w:val="00F8682C"/>
    <w:rsid w:val="00F90E18"/>
    <w:rsid w:val="00F90E1B"/>
    <w:rsid w:val="00F92013"/>
    <w:rsid w:val="00FA00E1"/>
    <w:rsid w:val="00FA0994"/>
    <w:rsid w:val="00FA2448"/>
    <w:rsid w:val="00FA3D40"/>
    <w:rsid w:val="00FA4CAA"/>
    <w:rsid w:val="00FA693D"/>
    <w:rsid w:val="00FB1A4D"/>
    <w:rsid w:val="00FB4122"/>
    <w:rsid w:val="00FB5638"/>
    <w:rsid w:val="00FB59C6"/>
    <w:rsid w:val="00FB7C76"/>
    <w:rsid w:val="00FC2C4F"/>
    <w:rsid w:val="00FD4AD2"/>
    <w:rsid w:val="00FD7CBB"/>
    <w:rsid w:val="00FE44AD"/>
    <w:rsid w:val="00FF1B74"/>
    <w:rsid w:val="00FF2302"/>
    <w:rsid w:val="00FF2EA9"/>
    <w:rsid w:val="00FF3C1E"/>
    <w:rsid w:val="00FF51D2"/>
    <w:rsid w:val="00FF5A0C"/>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12A"/>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A49DF"/>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A49DF"/>
    <w:rPr>
      <w:rFonts w:ascii="Times" w:eastAsia="Batang" w:hAnsi="Times"/>
      <w:szCs w:val="24"/>
      <w:lang w:val="en-GB" w:eastAsia="x-none"/>
    </w:rPr>
  </w:style>
  <w:style w:type="paragraph" w:styleId="NormalWeb">
    <w:name w:val="Normal (Web)"/>
    <w:basedOn w:val="Normal"/>
    <w:uiPriority w:val="99"/>
    <w:semiHidden/>
    <w:unhideWhenUsed/>
    <w:rsid w:val="00B248C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78003">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41571796">
      <w:bodyDiv w:val="1"/>
      <w:marLeft w:val="0"/>
      <w:marRight w:val="0"/>
      <w:marTop w:val="0"/>
      <w:marBottom w:val="0"/>
      <w:divBdr>
        <w:top w:val="none" w:sz="0" w:space="0" w:color="auto"/>
        <w:left w:val="none" w:sz="0" w:space="0" w:color="auto"/>
        <w:bottom w:val="none" w:sz="0" w:space="0" w:color="auto"/>
        <w:right w:val="none" w:sz="0" w:space="0" w:color="auto"/>
      </w:divBdr>
      <w:divsChild>
        <w:div w:id="1569995873">
          <w:marLeft w:val="0"/>
          <w:marRight w:val="0"/>
          <w:marTop w:val="0"/>
          <w:marBottom w:val="18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6387067">
      <w:bodyDiv w:val="1"/>
      <w:marLeft w:val="0"/>
      <w:marRight w:val="0"/>
      <w:marTop w:val="0"/>
      <w:marBottom w:val="0"/>
      <w:divBdr>
        <w:top w:val="none" w:sz="0" w:space="0" w:color="auto"/>
        <w:left w:val="none" w:sz="0" w:space="0" w:color="auto"/>
        <w:bottom w:val="none" w:sz="0" w:space="0" w:color="auto"/>
        <w:right w:val="none" w:sz="0" w:space="0" w:color="auto"/>
      </w:divBdr>
    </w:div>
    <w:div w:id="816335546">
      <w:bodyDiv w:val="1"/>
      <w:marLeft w:val="0"/>
      <w:marRight w:val="0"/>
      <w:marTop w:val="0"/>
      <w:marBottom w:val="0"/>
      <w:divBdr>
        <w:top w:val="none" w:sz="0" w:space="0" w:color="auto"/>
        <w:left w:val="none" w:sz="0" w:space="0" w:color="auto"/>
        <w:bottom w:val="none" w:sz="0" w:space="0" w:color="auto"/>
        <w:right w:val="none" w:sz="0" w:space="0" w:color="auto"/>
      </w:divBdr>
    </w:div>
    <w:div w:id="901599857">
      <w:bodyDiv w:val="1"/>
      <w:marLeft w:val="0"/>
      <w:marRight w:val="0"/>
      <w:marTop w:val="0"/>
      <w:marBottom w:val="0"/>
      <w:divBdr>
        <w:top w:val="none" w:sz="0" w:space="0" w:color="auto"/>
        <w:left w:val="none" w:sz="0" w:space="0" w:color="auto"/>
        <w:bottom w:val="none" w:sz="0" w:space="0" w:color="auto"/>
        <w:right w:val="none" w:sz="0" w:space="0" w:color="auto"/>
      </w:divBdr>
      <w:divsChild>
        <w:div w:id="1552762140">
          <w:marLeft w:val="216"/>
          <w:marRight w:val="0"/>
          <w:marTop w:val="240"/>
          <w:marBottom w:val="0"/>
          <w:divBdr>
            <w:top w:val="none" w:sz="0" w:space="0" w:color="auto"/>
            <w:left w:val="none" w:sz="0" w:space="0" w:color="auto"/>
            <w:bottom w:val="none" w:sz="0" w:space="0" w:color="auto"/>
            <w:right w:val="none" w:sz="0" w:space="0" w:color="auto"/>
          </w:divBdr>
        </w:div>
        <w:div w:id="1721392736">
          <w:marLeft w:val="216"/>
          <w:marRight w:val="0"/>
          <w:marTop w:val="24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97081253">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82409697">
      <w:bodyDiv w:val="1"/>
      <w:marLeft w:val="0"/>
      <w:marRight w:val="0"/>
      <w:marTop w:val="0"/>
      <w:marBottom w:val="0"/>
      <w:divBdr>
        <w:top w:val="none" w:sz="0" w:space="0" w:color="auto"/>
        <w:left w:val="none" w:sz="0" w:space="0" w:color="auto"/>
        <w:bottom w:val="none" w:sz="0" w:space="0" w:color="auto"/>
        <w:right w:val="none" w:sz="0" w:space="0" w:color="auto"/>
      </w:divBdr>
      <w:divsChild>
        <w:div w:id="1263220119">
          <w:marLeft w:val="0"/>
          <w:marRight w:val="0"/>
          <w:marTop w:val="0"/>
          <w:marBottom w:val="180"/>
          <w:divBdr>
            <w:top w:val="none" w:sz="0" w:space="0" w:color="auto"/>
            <w:left w:val="none" w:sz="0" w:space="0" w:color="auto"/>
            <w:bottom w:val="none" w:sz="0" w:space="0" w:color="auto"/>
            <w:right w:val="none" w:sz="0" w:space="0" w:color="auto"/>
          </w:divBdr>
        </w:div>
        <w:div w:id="1047879154">
          <w:marLeft w:val="0"/>
          <w:marRight w:val="0"/>
          <w:marTop w:val="0"/>
          <w:marBottom w:val="18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DF290-99E2-4123-B417-9AFD256CB986}">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53EB294C-A934-4EF8-ADF0-9A26992F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Pages>
  <Words>1818</Words>
  <Characters>10364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126</cp:revision>
  <cp:lastPrinted>2020-02-10T06:14:00Z</cp:lastPrinted>
  <dcterms:created xsi:type="dcterms:W3CDTF">2021-08-06T23:13:00Z</dcterms:created>
  <dcterms:modified xsi:type="dcterms:W3CDTF">2021-11-05T20:22:00Z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fb26ee5c-6a6a-440f-b70c-a3a5d11e97b3</vt:lpwstr>
  </property>
</Properties>
</file>